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B374B">
      <w:pPr>
        <w:spacing w:after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 w14:paraId="390931CC">
      <w:pPr>
        <w:widowControl w:val="0"/>
        <w:snapToGrid w:val="0"/>
        <w:spacing w:after="0" w:line="560" w:lineRule="exact"/>
        <w:jc w:val="center"/>
        <w:rPr>
          <w:rFonts w:hint="eastAsia" w:cs="宋体"/>
          <w:b/>
          <w:bCs/>
          <w:color w:val="auto"/>
          <w:sz w:val="44"/>
          <w:szCs w:val="44"/>
        </w:rPr>
      </w:pPr>
      <w:bookmarkStart w:id="1" w:name="_GoBack"/>
      <w:bookmarkStart w:id="0" w:name="_Hlk187072738"/>
      <w:r>
        <w:rPr>
          <w:rFonts w:hint="eastAsia" w:cs="宋体"/>
          <w:b/>
          <w:bCs/>
          <w:color w:val="auto"/>
          <w:sz w:val="44"/>
          <w:szCs w:val="44"/>
          <w:lang w:eastAsia="zh-CN"/>
        </w:rPr>
        <w:t>郑州市</w:t>
      </w:r>
      <w:r>
        <w:rPr>
          <w:rFonts w:hint="eastAsia" w:cs="宋体"/>
          <w:b/>
          <w:bCs/>
          <w:color w:val="auto"/>
          <w:sz w:val="44"/>
          <w:szCs w:val="44"/>
        </w:rPr>
        <w:t>非学科机构参与</w:t>
      </w:r>
      <w:r>
        <w:rPr>
          <w:rFonts w:hint="eastAsia" w:cs="宋体"/>
          <w:b/>
          <w:bCs/>
          <w:color w:val="auto"/>
          <w:sz w:val="44"/>
          <w:szCs w:val="44"/>
          <w:lang w:eastAsia="zh-CN"/>
        </w:rPr>
        <w:t>义务教育学校</w:t>
      </w:r>
      <w:r>
        <w:rPr>
          <w:rFonts w:hint="eastAsia" w:cs="宋体"/>
          <w:b/>
          <w:bCs/>
          <w:color w:val="auto"/>
          <w:sz w:val="44"/>
          <w:szCs w:val="44"/>
        </w:rPr>
        <w:t>课后服务“白名单”遴选评分标准</w:t>
      </w:r>
      <w:bookmarkEnd w:id="1"/>
    </w:p>
    <w:bookmarkEnd w:id="0"/>
    <w:tbl>
      <w:tblPr>
        <w:tblStyle w:val="5"/>
        <w:tblW w:w="8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5765"/>
        <w:gridCol w:w="709"/>
        <w:gridCol w:w="992"/>
      </w:tblGrid>
      <w:tr w14:paraId="6CAED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A8C41">
            <w:pPr>
              <w:widowControl w:val="0"/>
              <w:spacing w:line="360" w:lineRule="exact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评审因素</w:t>
            </w:r>
          </w:p>
        </w:tc>
        <w:tc>
          <w:tcPr>
            <w:tcW w:w="5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908F2">
            <w:pPr>
              <w:widowControl w:val="0"/>
              <w:spacing w:line="360" w:lineRule="exact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评审标准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90DB7">
            <w:pPr>
              <w:widowControl w:val="0"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分数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E2420">
            <w:pPr>
              <w:widowControl w:val="0"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说明</w:t>
            </w:r>
          </w:p>
        </w:tc>
      </w:tr>
      <w:tr w14:paraId="5D53F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8F5D7F4">
            <w:pPr>
              <w:widowControl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服务方案30分</w:t>
            </w:r>
          </w:p>
        </w:tc>
        <w:tc>
          <w:tcPr>
            <w:tcW w:w="5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835E2F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服务目标明确，服务方案科学合理具有较强的操作性10分；优秀得7-10分；良好得4-6.9分；一般得0-3.9分；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B04244">
            <w:pPr>
              <w:widowControl w:val="0"/>
              <w:spacing w:line="320" w:lineRule="exac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9D38BA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2D24A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1365FAA">
            <w:pPr>
              <w:widowControl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5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144211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服务课程结构合理，服务课程设置多元丰富10分；优秀得7-10分；良好得4-6.9分；一般得0-3.9分；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E86D1E">
            <w:pPr>
              <w:widowControl w:val="0"/>
              <w:spacing w:line="320" w:lineRule="exac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8AFA97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4D114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B0B4F1A">
            <w:pPr>
              <w:widowControl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5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9E7A5F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服务保障到位，实施程序完善，服务措施齐全、对学校社团参赛支持力度大5分；优秀得4-5分；良好得2-3.9分；一般得0-1.9分；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7ED0EB">
            <w:pPr>
              <w:widowControl w:val="0"/>
              <w:spacing w:line="320" w:lineRule="exac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5E5C61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D631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0A90A">
            <w:pPr>
              <w:widowControl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5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2ADAD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与学校的配合调节机制优化，能及时响应和反馈5分；优秀得4-5分；良好得2-3.9分；一般得0-1.9分。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55801">
            <w:pPr>
              <w:widowControl w:val="0"/>
              <w:spacing w:line="320" w:lineRule="exac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D5778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E296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01EF130">
            <w:pPr>
              <w:widowControl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师资力量20分</w:t>
            </w:r>
          </w:p>
        </w:tc>
        <w:tc>
          <w:tcPr>
            <w:tcW w:w="5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392F6C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能提供拟配备培训专职教师的资格证原件、大学本科及以上学历证原件，每人次0.5分；大专学历每人次0.3分。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BF3EAD">
            <w:pPr>
              <w:widowControl w:val="0"/>
              <w:spacing w:line="320" w:lineRule="exac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02AA39">
            <w:pPr>
              <w:widowControl w:val="0"/>
              <w:spacing w:after="0" w:line="3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总分累计最高10分</w:t>
            </w:r>
          </w:p>
        </w:tc>
      </w:tr>
      <w:tr w14:paraId="1AE5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F384E79">
            <w:pPr>
              <w:widowControl w:val="0"/>
              <w:spacing w:line="360" w:lineRule="exact"/>
              <w:jc w:val="both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5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1C7B50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须提供所在职培训机构出具的正规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劳动</w:t>
            </w:r>
            <w:r>
              <w:rPr>
                <w:rFonts w:hint="eastAsia" w:ascii="仿宋" w:hAnsi="仿宋" w:eastAsia="仿宋" w:cs="仿宋"/>
                <w:color w:val="auto"/>
              </w:rPr>
              <w:t>合同等原件，每人次0.3分。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022165">
            <w:pPr>
              <w:widowControl w:val="0"/>
              <w:spacing w:line="320" w:lineRule="exac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BA8363">
            <w:pPr>
              <w:widowControl w:val="0"/>
              <w:spacing w:after="0" w:line="3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164D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9B9AD">
            <w:pPr>
              <w:widowControl w:val="0"/>
              <w:spacing w:line="360" w:lineRule="exact"/>
              <w:jc w:val="both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5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92D89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提供能够证明该教师在该领域中的技能、荣誉证明（10分）。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E4C12">
            <w:pPr>
              <w:widowControl w:val="0"/>
              <w:spacing w:line="320" w:lineRule="exac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F9A8D">
            <w:pPr>
              <w:widowControl w:val="0"/>
              <w:spacing w:after="0" w:line="32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横向比较，评委酌情打分</w:t>
            </w:r>
          </w:p>
        </w:tc>
      </w:tr>
      <w:tr w14:paraId="44E19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8160CD">
            <w:pPr>
              <w:widowControl w:val="0"/>
              <w:tabs>
                <w:tab w:val="left" w:pos="15"/>
                <w:tab w:val="center" w:pos="1213"/>
              </w:tabs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安全保障</w:t>
            </w:r>
          </w:p>
          <w:p w14:paraId="18DC9930">
            <w:pPr>
              <w:widowControl w:val="0"/>
              <w:tabs>
                <w:tab w:val="left" w:pos="15"/>
                <w:tab w:val="center" w:pos="1213"/>
              </w:tabs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15分</w:t>
            </w:r>
          </w:p>
        </w:tc>
        <w:tc>
          <w:tcPr>
            <w:tcW w:w="5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C3B21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1.提供风险保证金缴纳证明，在全国校外教育培训监管与服务综合平台实现课程上架、收费、退费佐证；</w:t>
            </w:r>
          </w:p>
          <w:p w14:paraId="03444C0A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2.从业人员需提供最近的无犯罪记录证明；</w:t>
            </w:r>
          </w:p>
          <w:p w14:paraId="41CCB98F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3.提供器材的需提供合规的购买渠道、器材合规合格证明等；</w:t>
            </w:r>
          </w:p>
          <w:p w14:paraId="47A727C8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4.需要学校提供培训场地的，需提供与学校场地使用及保障的安全约定。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A26D0">
            <w:pPr>
              <w:widowControl w:val="0"/>
              <w:spacing w:line="320" w:lineRule="exact"/>
              <w:jc w:val="both"/>
              <w:rPr>
                <w:rFonts w:hint="eastAsia" w:cs="宋体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7EEFA">
            <w:pPr>
              <w:widowControl w:val="0"/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5BF8D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E2E5D6">
            <w:pPr>
              <w:widowControl w:val="0"/>
              <w:tabs>
                <w:tab w:val="left" w:pos="15"/>
                <w:tab w:val="center" w:pos="1213"/>
              </w:tabs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特色亮点10分</w:t>
            </w:r>
          </w:p>
        </w:tc>
        <w:tc>
          <w:tcPr>
            <w:tcW w:w="5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7D507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机构整体规模较大，设施设备齐全，专业力量雄厚，所获荣誉丰富信用度、美誉度较高，在业内有良好口碑。各培训项目有专长和特色，能提供该项目在所属领域的优势和亮点。优秀得12.0-15.0分，良好得7-11.9分，一般得0-6.9分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0AB9F">
            <w:pPr>
              <w:widowControl w:val="0"/>
              <w:spacing w:line="320" w:lineRule="exact"/>
              <w:jc w:val="both"/>
              <w:rPr>
                <w:rFonts w:hint="eastAsia" w:cs="宋体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A82A7">
            <w:pPr>
              <w:widowControl w:val="0"/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0C81C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6C21B0">
            <w:pPr>
              <w:widowControl w:val="0"/>
              <w:tabs>
                <w:tab w:val="left" w:pos="15"/>
                <w:tab w:val="center" w:pos="1213"/>
              </w:tabs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机构规范15分</w:t>
            </w:r>
          </w:p>
        </w:tc>
        <w:tc>
          <w:tcPr>
            <w:tcW w:w="5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C7DEB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能提供营业执照、办学许可证，或是注册在案的民非企业，2018年1月1日以后体艺类机构需提供营业执照；须经过当地消防部门审核验收和备案；对培训机构规模，服务场所及配套齐全；在当地相关部门无投诉、信访等不良记录，横向比较，优秀得10.0-15.0分，良好得6-9.9分，一般得0-5.9分。（一学年内，有效投诉、信访2次以上，该项不得分。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DC620">
            <w:pPr>
              <w:widowControl w:val="0"/>
              <w:spacing w:line="320" w:lineRule="exact"/>
              <w:jc w:val="both"/>
              <w:rPr>
                <w:rFonts w:hint="eastAsia" w:cs="宋体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D20B3">
            <w:pPr>
              <w:widowControl w:val="0"/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641A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42129D">
            <w:pPr>
              <w:widowControl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服务意识10分</w:t>
            </w:r>
          </w:p>
        </w:tc>
        <w:tc>
          <w:tcPr>
            <w:tcW w:w="5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7E3A3">
            <w:pPr>
              <w:widowControl w:val="0"/>
              <w:spacing w:after="0"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对郑州经济、社会发展贡献较大，服务较好，并能提供相关部门佐证材料得8—10分；与郑州合作紧密，并提供相关证明材料得5—7.9分；对郑州经济社会发展贡献较大、服务意识较强得0—4.9分；每项横向比较，评委酌情打分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3E1E2">
            <w:pPr>
              <w:widowControl w:val="0"/>
              <w:spacing w:line="320" w:lineRule="exact"/>
              <w:jc w:val="both"/>
              <w:rPr>
                <w:rFonts w:hint="eastAsia" w:cs="宋体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40CCA">
            <w:pPr>
              <w:widowControl w:val="0"/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505EF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9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EDDB4">
            <w:pPr>
              <w:widowControl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</w:rPr>
              <w:t>合计100分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4A01C">
            <w:pPr>
              <w:widowControl w:val="0"/>
              <w:spacing w:line="360" w:lineRule="exact"/>
              <w:jc w:val="both"/>
              <w:rPr>
                <w:rFonts w:hint="eastAsia"/>
                <w:snapToGrid w:val="0"/>
                <w:color w:va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FC407">
            <w:pPr>
              <w:widowControl w:val="0"/>
              <w:spacing w:line="360" w:lineRule="exact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</w:p>
        </w:tc>
      </w:tr>
    </w:tbl>
    <w:p w14:paraId="4FF4DA8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227A8"/>
    <w:rsid w:val="6D12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 w:eastAsia="宋体" w:cs="Times New Roman"/>
      <w:sz w:val="21"/>
      <w:szCs w:val="24"/>
    </w:rPr>
  </w:style>
  <w:style w:type="paragraph" w:styleId="4">
    <w:name w:val="Plain Text"/>
    <w:basedOn w:val="1"/>
    <w:unhideWhenUsed/>
    <w:qFormat/>
    <w:uiPriority w:val="1"/>
    <w:rPr>
      <w:rFonts w:ascii="宋体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2025-09-03T07:57:00Z</dcterms:created>
  <dc:creator>明月清风</dc:creator>
  <cp:lastModifiedBy>明月清风</cp:lastModifiedBy>
  <dcterms:modified xsi:type="dcterms:W3CDTF">2025-09-03T07:57:32Z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9EE8D2C6044B48C3A19238A284619580_11</vt:lpwstr>
  </property>
  <property fmtid="{D5CDD505-2E9C-101B-9397-08002B2CF9AE}" pid="4" name="KSOTemplateDocerSaveRecord">
    <vt:lpwstr>eyJoZGlkIjoiZDUxNTUyNzU5ZThkZmIxMTUyN2VhNzFjYjQ1Yzk4ODgiLCJ1c2VySWQiOiI0NzQwNDQ5NzUifQ==</vt:lpwstr>
  </property>
</Properties>
</file>