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登封市第一高级中学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10"/>
          <w:rFonts w:hint="eastAsia"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Style w:val="10"/>
          <w:rFonts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年音乐</w:t>
      </w:r>
      <w:r>
        <w:rPr>
          <w:rStyle w:val="10"/>
          <w:rFonts w:hint="eastAsia"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特长生专业测试</w:t>
      </w:r>
      <w:r>
        <w:rPr>
          <w:rStyle w:val="10"/>
          <w:rFonts w:ascii="方正小标宋_GBK" w:hAnsi="方正小标宋_GBK" w:eastAsia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一、学校简介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登封一中始建于1926年,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学校音乐师资力量雄厚，办学经验丰富，办学成效显著，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是登封市唯一一所河南省示范性高中。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2021年4月，学校引进高端教育资源，挂牌成立郑州市第二十四中学音乐教育共建学校。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登封市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教育局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招生改革要求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，为搭建艺术人才成长通道，提高学生艺术专业水平，按照“公正、公平、公开”原则，开展20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音乐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特长生招生工作。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2" w:firstLineChars="200"/>
        <w:jc w:val="left"/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二、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招生工作领导小组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长：冯刚省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李雪涛 雷  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员：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吴  昊 张兰航 刘朝阳 耿振东 耿曙鹃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1920" w:firstLineChars="6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王瑞芬 钱丽锋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责：负责制定音乐专业测试实施方案及评分细则，对测试工作进行宣传、实施。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Style w:val="10"/>
          <w:rFonts w:hint="eastAsia" w:ascii="黑体" w:hAnsi="黑体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</w:t>
      </w: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、招生</w:t>
      </w:r>
      <w:r>
        <w:rPr>
          <w:rStyle w:val="10"/>
          <w:rFonts w:hint="eastAsia" w:ascii="黑体" w:hAnsi="黑体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声乐20人，器乐5人，舞蹈5人。</w:t>
      </w:r>
    </w:p>
    <w:p>
      <w:pPr>
        <w:keepNext w:val="0"/>
        <w:keepLines w:val="0"/>
        <w:pageBreakBefore w:val="0"/>
        <w:numPr>
          <w:ilvl w:val="0"/>
          <w:numId w:val="1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报名要求和录取办法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报名条件、报名方式和录取办法，依据《登封市教育局关于印发2022年普通高中、普通中等专业学校、中等职业学校招生工作意见的通知》（登教通【2022】20号）有关规定执行，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通过网上报名系统填报提前批次登封市第一高级中学音乐专业。同时,以初中毕业学校为单位统一报名，于6月1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日下午5点前将填写完整并加盖毕业学校公章的纸质报名表（见附件3）、汇总表（见附件4）各一份交登封市第一高级中学办公室（慎思楼一楼），电子稿以初中毕业学校全称命名并打包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  <w:t>压缩发送至登封市第一高级中学邮箱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（dfyzdzbgs@163.com）。 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</w:rPr>
        <w:t>测试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时间、地点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638" w:leftChars="304" w:right="0" w:righ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1.时间：2022年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上午7：30报到，8:00开始测试。2.地点：登封一中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笃行楼二楼。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3.联系方式：办公室 62855790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  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 xml:space="preserve"> 18595672288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钱老师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13783518133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六、测试内容与评分标准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具体测试内容与评分标准见本方案附件1和附件2。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七、成绩公示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所有考生专业测试成绩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于测试后一周内，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在登封市教育信息网进行公示。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1.登封市第一高级中学202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年音乐专业测试内容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2.登封市第一高级中学202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年音乐专业测试评分标准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3.登封市第一高级中学202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年音乐专业招生报名表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4.登封市第一高级中学202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年音乐专业招生报名汇总表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登封市登封市第一高级中学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2022年6月1日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登封市第一高级中学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baseline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年音乐</w:t>
      </w: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专业测试内容</w:t>
      </w:r>
    </w:p>
    <w:p>
      <w:pPr>
        <w:keepNext w:val="0"/>
        <w:keepLines w:val="0"/>
        <w:pageBreakBefore w:val="0"/>
        <w:widowControl w:val="0"/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测试内容及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音乐专业测试科目（140分）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主考科目（100分）：声乐、器乐、舞蹈，考生任选其一作为主考科目;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视唱（30分）;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单音模唱（10分）。 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音乐专业考试要求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声乐：考试的曲目要求思想内容健康，可以是中外不同体裁、不同风格的歌曲。考生自选一首曲目，主要用美声唱法、民族唱法演唱（考生自备演唱歌曲简谱，A4纸打印过塑，考点老师统一钢琴伴奏）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器乐：考生可自选乐器种类，主要包括键盘乐器和管弦乐器。考生自选一首曲目进行弹奏测试，曲目可以是中外不同题材、不同风格的乐曲及练习曲等（除钢琴以外，其他乐器考生自备，不用伴奏音乐，考点提供谱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舞蹈：以独舞为主，主要以测试学生个体的肢体艺术表现和身体协调能力为主。表演曲目由考生自定，时间控制在3分钟以内。（考生自备音乐伴奏U盘，mp3格式，U盘内只能存储考试伴奏唯一文件，不得存储其它内容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注意：舞蹈考生不测试视唱和听音模唱。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视唱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视唱曲目为一条，分五线谱和简谱两种形式。主要从音准、节拍、节奏、视谱能力等方面进行测试。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单音模唱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共五个单音，主要测试学生对音高、音准的听辨和模唱能力。学生在听到钢琴弹奏的单音时，能够迅速听辨出该音的音高并用“啊”或“啦”等母音模唱出来。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测试时间及地点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测试时间：202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日上午8：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0开始，各校带队教师务必于7：30将考生带到考试等待区（体育馆一楼），迟到者禁止入场。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测试地点：笃行楼二楼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测试注意事项及疫情防控要求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各校参加音乐测试的考生由学校安排专职教师带队，按时到达考点，带队教师及考生需佩戴口罩、测量体温，体温无异常者方可进入考点，其他无关人员严禁进入校园。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考生需携带乐谱、伴奏U盘、乐器。  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考生要服从安排，逐项参加考试。 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none" w:color="000000" w:sz="0" w:space="7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4.考场实行封闭管理，一律凭身份证入场，非考生和考场工作人员不得入内。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aseline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baseline"/>
        <w:rPr>
          <w:rStyle w:val="10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登封市第一高级中学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baseline"/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10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年音乐</w:t>
      </w:r>
      <w:r>
        <w:rPr>
          <w:rStyle w:val="10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专业测试评分标准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一、声乐评分标准（100分）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1.嗓音条件：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要求音色明亮、圆润、音质干净、声音有较大的可塑性，发音、呼吸器官无疾病。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2.演唱方法：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有良好的科学发声方法（喉头稳定、富有共鸣、有气息支撑），声音通畅、吐字清晰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3.音乐表现：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风格把握较为准确，能较好地表现歌曲情感，音准节奏准确，有良好的乐感和演唱气质。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二、器乐评分标准（100分）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1.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演奏姿势、演奏方法正确，基本功良好。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2.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对音乐作品有一定的理解，能正确把握音乐风格，有音乐表现力和感染力。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三、舞蹈评分标准（100分）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1.作品表演连贯、完整。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  2.具有良好的节奏感和协调性。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3.作品风格把握准确，具有一定的艺术表现力。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四、视唱评分标准（30分）</w:t>
      </w:r>
    </w:p>
    <w:p>
      <w:pPr>
        <w:keepNext w:val="0"/>
        <w:keepLines w:val="0"/>
        <w:pageBreakBefore w:val="0"/>
        <w:widowControl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1.音准、节奏</w:t>
      </w:r>
      <w:r>
        <w:rPr>
          <w:rStyle w:val="10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正确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，基本能做到视谱即唱。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2.能较熟练地掌握各种节奏节拍（二拍子、三拍子、四拍子等）。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3.能用基本指挥图式划拍或击拍。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五、听音模唱(10分)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能快速、准确听辨出钢琴弹奏的单音、音高，并用洪亮、清晰的声音模唱出来。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baseline"/>
        <w:rPr>
          <w:rStyle w:val="10"/>
          <w:rFonts w:hAnsi="宋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24"/>
          <w:u w:val="single"/>
          <w:lang w:val="en-US" w:eastAsia="zh-CN" w:bidi="ar-SA"/>
        </w:rPr>
      </w:pPr>
      <w:r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</w:t>
      </w: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登封市第一高级中学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202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 xml:space="preserve"> 年音乐专业招生报名表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</w:p>
    <w:tbl>
      <w:tblPr>
        <w:tblStyle w:val="7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81"/>
        <w:gridCol w:w="810"/>
        <w:gridCol w:w="845"/>
        <w:gridCol w:w="187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名</w:t>
            </w:r>
          </w:p>
        </w:tc>
        <w:tc>
          <w:tcPr>
            <w:tcW w:w="1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别</w:t>
            </w:r>
          </w:p>
        </w:tc>
        <w:tc>
          <w:tcPr>
            <w:tcW w:w="1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592" w:firstLineChars="2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before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296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毕业学校</w:t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296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报考主科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考试曲目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458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296" w:firstLineChars="10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  <w:t>家长意见：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家长签名: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2072" w:firstLineChars="70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年  月  日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296" w:firstLineChars="10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lang w:val="en-US" w:eastAsia="zh-CN"/>
              </w:rPr>
              <w:t>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盖  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2072" w:firstLineChars="7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</w:rPr>
        <w:t>附件 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登封市第一高级中学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202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年音乐专业招生报名汇总表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  <w:t>毕业学校（盖章） </w:t>
      </w:r>
    </w:p>
    <w:tbl>
      <w:tblPr>
        <w:tblStyle w:val="7"/>
        <w:tblW w:w="9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762"/>
        <w:gridCol w:w="715"/>
        <w:gridCol w:w="982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姓  名</w:t>
            </w:r>
          </w:p>
        </w:tc>
        <w:tc>
          <w:tcPr>
            <w:tcW w:w="37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身 份 证 号</w:t>
            </w:r>
          </w:p>
        </w:tc>
        <w:tc>
          <w:tcPr>
            <w:tcW w:w="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主科</w:t>
            </w:r>
          </w:p>
        </w:tc>
        <w:tc>
          <w:tcPr>
            <w:tcW w:w="2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</w:rPr>
              <w:t>曲目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beforeAutospacing="0" w:after="0" w:afterAutospacing="0" w:line="600" w:lineRule="exact"/>
              <w:ind w:left="0" w:leftChars="0" w:right="0" w:rightChars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  <w:t>注: 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  <w:t>主科（声乐、舞蹈、器乐）选一项作为主科，器乐注明什么乐器。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  <w:t>     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  <w:t>此表可下载复印（A4 纸统一打印）。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特别提示：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5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按照市教育局招生政策，音乐特长生文化课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合格分数线按照公办普通高中普通类录取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分数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线下降10分划定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，在此基础上，按照专业成绩从高到低录取，录满为止。有剩余计划的，统一转为普通类，由四所高中均分使用。一经录取，不得转为普通班学生。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Style w:val="10"/>
          <w:rFonts w:hint="eastAsia" w:ascii="黑体" w:hAnsi="黑体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Style w:val="10"/>
          <w:rFonts w:hint="eastAsia" w:ascii="黑体" w:hAnsi="黑体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baseline"/>
        <w:rPr>
          <w:rStyle w:val="10"/>
          <w:rFonts w:hint="eastAsia" w:ascii="黑体" w:hAnsi="黑体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bottom w:val="none" w:color="000000" w:sz="0" w:space="7"/>
        </w:pBd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baseline"/>
        <w:rPr>
          <w:rStyle w:val="10"/>
          <w:rFonts w:hAnsi="宋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24"/>
          <w:u w:val="single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lnNumType w:countBy="0"/>
      <w:pgNumType w:fmt="numberInDash" w:chapStyle="1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12"/>
        <w:rFonts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idowControl/>
      <w:snapToGrid w:val="0"/>
      <w:jc w:val="left"/>
      <w:textAlignment w:val="baseline"/>
      <w:rPr>
        <w:rStyle w:val="10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rFonts w:eastAsia="宋体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10"/>
        <w:rFonts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rFonts w:eastAsia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E241A"/>
    <w:multiLevelType w:val="singleLevel"/>
    <w:tmpl w:val="0BFE24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70CAEB"/>
    <w:multiLevelType w:val="singleLevel"/>
    <w:tmpl w:val="2D70CAE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2EE53BA"/>
    <w:multiLevelType w:val="singleLevel"/>
    <w:tmpl w:val="32EE53BA"/>
    <w:lvl w:ilvl="0" w:tentative="0">
      <w:start w:val="1"/>
      <w:numFmt w:val="decimal"/>
      <w:lvlText w:val="(%1)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  <w:b w:val="0"/>
        <w:bCs w:val="0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jdlNjIzMjRhYjEwZjI0ZmY0NmM2MWY5Zjc4ODgifQ=="/>
  </w:docVars>
  <w:rsids>
    <w:rsidRoot w:val="00000000"/>
    <w:rsid w:val="015C7994"/>
    <w:rsid w:val="024D5CBA"/>
    <w:rsid w:val="0264726A"/>
    <w:rsid w:val="02FF78FD"/>
    <w:rsid w:val="07822BD1"/>
    <w:rsid w:val="07EC0828"/>
    <w:rsid w:val="0847505B"/>
    <w:rsid w:val="09D042CB"/>
    <w:rsid w:val="09D815E1"/>
    <w:rsid w:val="0BD279BA"/>
    <w:rsid w:val="0C9F6CA2"/>
    <w:rsid w:val="0CE14115"/>
    <w:rsid w:val="0D2A3DC7"/>
    <w:rsid w:val="0D6B2749"/>
    <w:rsid w:val="0E7033F8"/>
    <w:rsid w:val="0ED4462A"/>
    <w:rsid w:val="0F276357"/>
    <w:rsid w:val="111779FF"/>
    <w:rsid w:val="11504776"/>
    <w:rsid w:val="11F822E7"/>
    <w:rsid w:val="133643FF"/>
    <w:rsid w:val="143765A5"/>
    <w:rsid w:val="14423D9D"/>
    <w:rsid w:val="14C512FB"/>
    <w:rsid w:val="15F5110D"/>
    <w:rsid w:val="16F546B9"/>
    <w:rsid w:val="18200499"/>
    <w:rsid w:val="18226550"/>
    <w:rsid w:val="1923755C"/>
    <w:rsid w:val="1B906951"/>
    <w:rsid w:val="1C571C03"/>
    <w:rsid w:val="1CFE1B57"/>
    <w:rsid w:val="1D37025D"/>
    <w:rsid w:val="1E1B5F0E"/>
    <w:rsid w:val="1F275FD8"/>
    <w:rsid w:val="1FDF22F9"/>
    <w:rsid w:val="21866161"/>
    <w:rsid w:val="240664EA"/>
    <w:rsid w:val="260E4795"/>
    <w:rsid w:val="26290054"/>
    <w:rsid w:val="263D6A10"/>
    <w:rsid w:val="27C40302"/>
    <w:rsid w:val="28406FF0"/>
    <w:rsid w:val="28616AD6"/>
    <w:rsid w:val="28C72DDD"/>
    <w:rsid w:val="28E03E9F"/>
    <w:rsid w:val="29B96A3E"/>
    <w:rsid w:val="29BE5510"/>
    <w:rsid w:val="2C6E2C2A"/>
    <w:rsid w:val="2CA17C43"/>
    <w:rsid w:val="2D2A1E94"/>
    <w:rsid w:val="30254316"/>
    <w:rsid w:val="31610EDF"/>
    <w:rsid w:val="31B13610"/>
    <w:rsid w:val="324141D4"/>
    <w:rsid w:val="32982113"/>
    <w:rsid w:val="32F9523F"/>
    <w:rsid w:val="33651CD6"/>
    <w:rsid w:val="341A1E16"/>
    <w:rsid w:val="34B72FD9"/>
    <w:rsid w:val="354564D5"/>
    <w:rsid w:val="371C3678"/>
    <w:rsid w:val="37363117"/>
    <w:rsid w:val="37AE3198"/>
    <w:rsid w:val="37D40A42"/>
    <w:rsid w:val="37F60C6B"/>
    <w:rsid w:val="38E12487"/>
    <w:rsid w:val="397D28D1"/>
    <w:rsid w:val="39C54F36"/>
    <w:rsid w:val="39F64B6D"/>
    <w:rsid w:val="3A636BBF"/>
    <w:rsid w:val="3C36570A"/>
    <w:rsid w:val="3C95563D"/>
    <w:rsid w:val="3CEF1281"/>
    <w:rsid w:val="3E9856DE"/>
    <w:rsid w:val="407A02DD"/>
    <w:rsid w:val="41AF76D2"/>
    <w:rsid w:val="425B7ECC"/>
    <w:rsid w:val="427C658F"/>
    <w:rsid w:val="43771659"/>
    <w:rsid w:val="438A0DC4"/>
    <w:rsid w:val="45753D36"/>
    <w:rsid w:val="46E110B6"/>
    <w:rsid w:val="47FB61A8"/>
    <w:rsid w:val="4AD70951"/>
    <w:rsid w:val="4D694AAD"/>
    <w:rsid w:val="4F5C32DB"/>
    <w:rsid w:val="4F6A19EE"/>
    <w:rsid w:val="513A1580"/>
    <w:rsid w:val="52567539"/>
    <w:rsid w:val="52617B47"/>
    <w:rsid w:val="54696563"/>
    <w:rsid w:val="55665C7C"/>
    <w:rsid w:val="57AD4682"/>
    <w:rsid w:val="57EB271B"/>
    <w:rsid w:val="59850272"/>
    <w:rsid w:val="5AB87F28"/>
    <w:rsid w:val="5ADF3E0B"/>
    <w:rsid w:val="5B9958CC"/>
    <w:rsid w:val="5CB84210"/>
    <w:rsid w:val="5DA16F37"/>
    <w:rsid w:val="5E9D56B1"/>
    <w:rsid w:val="5EA26F09"/>
    <w:rsid w:val="612C26CC"/>
    <w:rsid w:val="62314945"/>
    <w:rsid w:val="627258F8"/>
    <w:rsid w:val="65035F66"/>
    <w:rsid w:val="66311312"/>
    <w:rsid w:val="67D170A8"/>
    <w:rsid w:val="67F81964"/>
    <w:rsid w:val="68B51FD3"/>
    <w:rsid w:val="696002CD"/>
    <w:rsid w:val="6A376728"/>
    <w:rsid w:val="6B892FB0"/>
    <w:rsid w:val="6BEB29D0"/>
    <w:rsid w:val="6C32316F"/>
    <w:rsid w:val="6C4121F8"/>
    <w:rsid w:val="6D6B67F0"/>
    <w:rsid w:val="6DBA5CE8"/>
    <w:rsid w:val="6E471431"/>
    <w:rsid w:val="6E854AC9"/>
    <w:rsid w:val="6F286694"/>
    <w:rsid w:val="715C2038"/>
    <w:rsid w:val="71676496"/>
    <w:rsid w:val="71901EF6"/>
    <w:rsid w:val="72DA6836"/>
    <w:rsid w:val="75C630A2"/>
    <w:rsid w:val="76800471"/>
    <w:rsid w:val="76BD062A"/>
    <w:rsid w:val="77080094"/>
    <w:rsid w:val="79C37D2A"/>
    <w:rsid w:val="7B95573E"/>
    <w:rsid w:val="7BE42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PageNumber"/>
    <w:basedOn w:val="10"/>
    <w:link w:val="1"/>
    <w:qFormat/>
    <w:uiPriority w:val="0"/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4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Arial" w:hAnsi="Arial" w:eastAsia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qFormat/>
    <w:uiPriority w:val="0"/>
    <w:pPr>
      <w:jc w:val="both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">
    <w:name w:val="UserStyle_0"/>
    <w:basedOn w:val="1"/>
    <w:qFormat/>
    <w:uiPriority w:val="0"/>
    <w:pPr>
      <w:widowControl/>
      <w:spacing w:line="365" w:lineRule="atLeast"/>
      <w:ind w:left="1"/>
      <w:jc w:val="both"/>
      <w:textAlignment w:val="baseline"/>
    </w:pPr>
    <w:rPr>
      <w:rFonts w:eastAsia="宋体"/>
      <w:kern w:val="0"/>
      <w:sz w:val="20"/>
      <w:szCs w:val="20"/>
      <w:lang w:val="en-US" w:eastAsia="zh-CN" w:bidi="ar-SA"/>
    </w:rPr>
  </w:style>
  <w:style w:type="paragraph" w:customStyle="1" w:styleId="17">
    <w:name w:val="UserStyle_1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2255</Words>
  <Characters>2410</Characters>
  <TotalTime>9</TotalTime>
  <ScaleCrop>false</ScaleCrop>
  <LinksUpToDate>false</LinksUpToDate>
  <CharactersWithSpaces>2650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2021-05-22T14:27:00Z</dcterms:created>
  <dc:creator>Administrator</dc:creator>
  <cp:lastModifiedBy>lxt</cp:lastModifiedBy>
  <cp:lastPrinted>2022-06-01T04:04:16Z</cp:lastPrinted>
  <dcterms:modified xsi:type="dcterms:W3CDTF">2022-06-01T04:08:47Z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ADF143DA259448EE9B64A302979E782B</vt:lpwstr>
  </property>
</Properties>
</file>