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0" w:lineRule="exact"/>
        <w:ind w:firstLine="1446" w:firstLineChars="200"/>
        <w:jc w:val="center"/>
        <w:rPr>
          <w:rFonts w:asciiTheme="minorEastAsia" w:hAnsiTheme="minorEastAsia"/>
          <w:b/>
          <w:sz w:val="72"/>
          <w:szCs w:val="36"/>
        </w:rPr>
      </w:pPr>
    </w:p>
    <w:p>
      <w:pPr>
        <w:spacing w:line="590" w:lineRule="exact"/>
        <w:jc w:val="center"/>
        <w:rPr>
          <w:rFonts w:ascii="黑体" w:hAnsi="黑体" w:eastAsia="黑体" w:cs="黑体"/>
          <w:w w:val="90"/>
          <w:sz w:val="44"/>
          <w:szCs w:val="44"/>
        </w:rPr>
      </w:pPr>
    </w:p>
    <w:p>
      <w:pPr>
        <w:spacing w:line="590" w:lineRule="exact"/>
        <w:jc w:val="center"/>
        <w:rPr>
          <w:rFonts w:ascii="黑体" w:hAnsi="黑体" w:eastAsia="黑体" w:cs="黑体"/>
          <w:w w:val="90"/>
          <w:sz w:val="44"/>
          <w:szCs w:val="44"/>
        </w:rPr>
      </w:pPr>
    </w:p>
    <w:p>
      <w:pPr>
        <w:spacing w:line="590" w:lineRule="exact"/>
        <w:jc w:val="center"/>
        <w:rPr>
          <w:rFonts w:ascii="方正小标宋_GBK" w:hAnsi="黑体" w:eastAsia="方正小标宋_GBK" w:cs="黑体"/>
          <w:w w:val="90"/>
          <w:sz w:val="44"/>
          <w:szCs w:val="44"/>
        </w:rPr>
      </w:pPr>
      <w:r>
        <w:rPr>
          <w:rFonts w:hint="eastAsia" w:ascii="方正小标宋_GBK" w:hAnsi="黑体" w:eastAsia="方正小标宋_GBK" w:cs="黑体"/>
          <w:w w:val="90"/>
          <w:sz w:val="44"/>
          <w:szCs w:val="44"/>
        </w:rPr>
        <w:t>登封市中等职业教育质量年度报告</w:t>
      </w:r>
    </w:p>
    <w:p>
      <w:pPr>
        <w:spacing w:line="590" w:lineRule="exact"/>
        <w:jc w:val="center"/>
        <w:rPr>
          <w:rFonts w:ascii="方正小标宋_GBK" w:hAnsi="黑体" w:eastAsia="方正小标宋_GBK" w:cs="黑体"/>
          <w:w w:val="90"/>
          <w:sz w:val="44"/>
          <w:szCs w:val="44"/>
        </w:rPr>
      </w:pPr>
    </w:p>
    <w:p>
      <w:pPr>
        <w:spacing w:line="590" w:lineRule="exact"/>
        <w:jc w:val="center"/>
        <w:rPr>
          <w:rFonts w:ascii="方正小标宋_GBK" w:hAnsi="黑体" w:eastAsia="方正小标宋_GBK"/>
          <w:b/>
          <w:sz w:val="44"/>
          <w:szCs w:val="44"/>
        </w:rPr>
      </w:pPr>
      <w:r>
        <w:rPr>
          <w:rFonts w:hint="eastAsia" w:ascii="方正小标宋_GBK" w:hAnsi="黑体" w:eastAsia="方正小标宋_GBK" w:cs="黑体"/>
          <w:sz w:val="44"/>
          <w:szCs w:val="44"/>
        </w:rPr>
        <w:t>（2020年）</w:t>
      </w:r>
    </w:p>
    <w:p>
      <w:pPr>
        <w:spacing w:line="590" w:lineRule="exact"/>
        <w:ind w:firstLine="1446" w:firstLineChars="200"/>
        <w:jc w:val="center"/>
        <w:rPr>
          <w:rFonts w:asciiTheme="minorEastAsia" w:hAnsiTheme="minorEastAsia"/>
          <w:b/>
          <w:sz w:val="72"/>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ind w:firstLine="723" w:firstLineChars="200"/>
        <w:jc w:val="center"/>
        <w:rPr>
          <w:rFonts w:asciiTheme="minorEastAsia" w:hAnsiTheme="minorEastAsia"/>
          <w:b/>
          <w:sz w:val="36"/>
          <w:szCs w:val="36"/>
        </w:rPr>
      </w:pPr>
    </w:p>
    <w:p>
      <w:pPr>
        <w:spacing w:line="590" w:lineRule="exact"/>
        <w:jc w:val="center"/>
        <w:rPr>
          <w:rFonts w:ascii="楷体" w:hAnsi="楷体" w:eastAsia="楷体" w:cs="黑体"/>
          <w:sz w:val="32"/>
          <w:szCs w:val="32"/>
        </w:rPr>
      </w:pPr>
      <w:r>
        <w:rPr>
          <w:rFonts w:hint="eastAsia" w:ascii="楷体" w:hAnsi="楷体" w:eastAsia="楷体" w:cs="黑体"/>
          <w:sz w:val="32"/>
          <w:szCs w:val="32"/>
        </w:rPr>
        <w:t>登封市教育局</w:t>
      </w:r>
    </w:p>
    <w:p>
      <w:pPr>
        <w:spacing w:line="590" w:lineRule="exact"/>
        <w:jc w:val="center"/>
        <w:rPr>
          <w:rFonts w:ascii="楷体" w:hAnsi="楷体" w:eastAsia="楷体" w:cs="黑体"/>
          <w:sz w:val="32"/>
          <w:szCs w:val="32"/>
        </w:rPr>
      </w:pPr>
      <w:r>
        <w:rPr>
          <w:rFonts w:hint="eastAsia" w:ascii="楷体" w:hAnsi="楷体" w:eastAsia="楷体" w:cs="黑体"/>
          <w:sz w:val="32"/>
          <w:szCs w:val="32"/>
        </w:rPr>
        <w:t>2021年2月23日</w:t>
      </w:r>
    </w:p>
    <w:p>
      <w:pPr>
        <w:widowControl/>
        <w:spacing w:line="590" w:lineRule="exact"/>
        <w:rPr>
          <w:rFonts w:ascii="宋体" w:hAnsi="宋体" w:eastAsia="宋体" w:cs="宋体"/>
          <w:b/>
          <w:color w:val="000000"/>
          <w:kern w:val="0"/>
          <w:sz w:val="36"/>
          <w:szCs w:val="36"/>
        </w:rPr>
      </w:pPr>
    </w:p>
    <w:p>
      <w:pPr>
        <w:widowControl/>
        <w:spacing w:line="590" w:lineRule="exact"/>
        <w:rPr>
          <w:rFonts w:ascii="宋体" w:hAnsi="宋体" w:eastAsia="宋体" w:cs="宋体"/>
          <w:b/>
          <w:color w:val="000000"/>
          <w:kern w:val="0"/>
          <w:sz w:val="36"/>
          <w:szCs w:val="36"/>
        </w:rPr>
      </w:pPr>
    </w:p>
    <w:p>
      <w:pPr>
        <w:widowControl/>
        <w:spacing w:line="590" w:lineRule="exact"/>
        <w:jc w:val="center"/>
        <w:rPr>
          <w:rFonts w:ascii="方正小标宋_GBK" w:eastAsia="方正小标宋_GBK"/>
          <w:sz w:val="44"/>
          <w:szCs w:val="44"/>
        </w:rPr>
      </w:pPr>
      <w:r>
        <w:rPr>
          <w:rFonts w:hint="eastAsia" w:ascii="方正小标宋_GBK" w:hAnsi="宋体" w:eastAsia="方正小标宋_GBK" w:cs="宋体"/>
          <w:b/>
          <w:color w:val="000000"/>
          <w:kern w:val="0"/>
          <w:sz w:val="44"/>
          <w:szCs w:val="44"/>
        </w:rPr>
        <w:t>目  录</w:t>
      </w:r>
    </w:p>
    <w:p>
      <w:pPr>
        <w:widowControl/>
        <w:spacing w:line="590" w:lineRule="exact"/>
        <w:jc w:val="left"/>
        <w:rPr>
          <w:rFonts w:ascii="仿宋" w:hAnsi="仿宋" w:eastAsia="仿宋" w:cs="仿宋"/>
          <w:b/>
          <w:color w:val="000000"/>
          <w:kern w:val="0"/>
          <w:sz w:val="31"/>
          <w:szCs w:val="31"/>
        </w:rPr>
      </w:pPr>
    </w:p>
    <w:p>
      <w:pPr>
        <w:widowControl/>
        <w:spacing w:line="590" w:lineRule="exact"/>
        <w:jc w:val="left"/>
      </w:pPr>
      <w:r>
        <w:rPr>
          <w:rFonts w:hint="eastAsia" w:ascii="黑体" w:hAnsi="黑体" w:eastAsia="黑体" w:cs="黑体"/>
          <w:color w:val="000000"/>
          <w:kern w:val="0"/>
          <w:sz w:val="32"/>
          <w:szCs w:val="32"/>
        </w:rPr>
        <w:t>第一部分  基本情况</w:t>
      </w:r>
      <w:r>
        <w:rPr>
          <w:rFonts w:hint="eastAsia" w:ascii="黑体" w:hAnsi="黑体" w:eastAsia="黑体" w:cs="黑体"/>
          <w:b/>
          <w:color w:val="000000"/>
          <w:kern w:val="0"/>
          <w:sz w:val="32"/>
          <w:szCs w:val="32"/>
        </w:rPr>
        <w:t xml:space="preserve">  </w:t>
      </w:r>
      <w:r>
        <w:rPr>
          <w:rFonts w:hint="eastAsia" w:ascii="仿宋" w:hAnsi="仿宋" w:eastAsia="仿宋" w:cs="仿宋"/>
          <w:color w:val="000000"/>
          <w:kern w:val="0"/>
          <w:sz w:val="32"/>
          <w:szCs w:val="32"/>
        </w:rPr>
        <w:t>……………………………………………1</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1.1 规模和结构</w:t>
      </w:r>
      <w:r>
        <w:rPr>
          <w:rFonts w:hint="eastAsia" w:ascii="仿宋" w:hAnsi="仿宋" w:eastAsia="仿宋" w:cs="仿宋"/>
          <w:color w:val="000000"/>
          <w:kern w:val="0"/>
          <w:sz w:val="32"/>
          <w:szCs w:val="32"/>
        </w:rPr>
        <w:t>……………………………………………………1</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1.2 设施设备</w:t>
      </w:r>
      <w:r>
        <w:rPr>
          <w:rFonts w:hint="eastAsia" w:ascii="仿宋" w:hAnsi="仿宋" w:eastAsia="仿宋" w:cs="仿宋"/>
          <w:color w:val="000000"/>
          <w:kern w:val="0"/>
          <w:sz w:val="32"/>
          <w:szCs w:val="32"/>
        </w:rPr>
        <w:t>………………………………………………………2</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1.3 教师队伍</w:t>
      </w:r>
      <w:r>
        <w:rPr>
          <w:rFonts w:hint="eastAsia" w:ascii="仿宋" w:hAnsi="仿宋" w:eastAsia="仿宋" w:cs="仿宋"/>
          <w:color w:val="000000"/>
          <w:kern w:val="0"/>
          <w:sz w:val="32"/>
          <w:szCs w:val="32"/>
        </w:rPr>
        <w:t>………………………………………………………3</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黑体" w:hAnsi="黑体" w:eastAsia="黑体" w:cs="黑体"/>
          <w:color w:val="000000"/>
          <w:kern w:val="0"/>
          <w:sz w:val="32"/>
          <w:szCs w:val="32"/>
        </w:rPr>
        <w:t>第二部分  学生发展</w:t>
      </w:r>
      <w:r>
        <w:rPr>
          <w:rFonts w:hint="eastAsia" w:ascii="仿宋" w:hAnsi="仿宋" w:eastAsia="仿宋" w:cs="仿宋"/>
          <w:color w:val="000000"/>
          <w:kern w:val="0"/>
          <w:sz w:val="32"/>
          <w:szCs w:val="32"/>
        </w:rPr>
        <w:t>………………………………………………4</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2.1 学生素质</w:t>
      </w:r>
      <w:r>
        <w:rPr>
          <w:rFonts w:hint="eastAsia" w:ascii="仿宋" w:hAnsi="仿宋" w:eastAsia="仿宋" w:cs="仿宋"/>
          <w:color w:val="000000"/>
          <w:kern w:val="0"/>
          <w:sz w:val="32"/>
          <w:szCs w:val="32"/>
        </w:rPr>
        <w:t xml:space="preserve">………………………………………………………4 </w:t>
      </w:r>
    </w:p>
    <w:p>
      <w:pPr>
        <w:widowControl/>
        <w:spacing w:line="590" w:lineRule="exact"/>
        <w:jc w:val="left"/>
      </w:pPr>
      <w:r>
        <w:rPr>
          <w:rFonts w:hint="eastAsia" w:ascii="楷体" w:hAnsi="楷体" w:eastAsia="楷体" w:cs="楷体"/>
          <w:color w:val="000000"/>
          <w:kern w:val="0"/>
          <w:sz w:val="32"/>
          <w:szCs w:val="32"/>
        </w:rPr>
        <w:t>2.2 就业质量</w:t>
      </w:r>
      <w:r>
        <w:rPr>
          <w:rFonts w:hint="eastAsia" w:ascii="仿宋" w:hAnsi="仿宋" w:eastAsia="仿宋" w:cs="仿宋"/>
          <w:color w:val="000000"/>
          <w:kern w:val="0"/>
          <w:sz w:val="32"/>
          <w:szCs w:val="32"/>
        </w:rPr>
        <w:t xml:space="preserve">………………………………………………………6 </w:t>
      </w:r>
    </w:p>
    <w:p>
      <w:pPr>
        <w:widowControl/>
        <w:spacing w:line="590" w:lineRule="exact"/>
        <w:jc w:val="left"/>
      </w:pPr>
      <w:r>
        <w:rPr>
          <w:rFonts w:hint="eastAsia" w:ascii="黑体" w:hAnsi="黑体" w:eastAsia="黑体" w:cs="黑体"/>
          <w:color w:val="000000"/>
          <w:kern w:val="0"/>
          <w:sz w:val="32"/>
          <w:szCs w:val="32"/>
        </w:rPr>
        <w:t>第三部分  质量保障措施</w:t>
      </w:r>
      <w:r>
        <w:rPr>
          <w:rFonts w:hint="eastAsia" w:ascii="仿宋" w:hAnsi="仿宋" w:eastAsia="仿宋" w:cs="仿宋"/>
          <w:color w:val="000000"/>
          <w:kern w:val="0"/>
          <w:sz w:val="32"/>
          <w:szCs w:val="32"/>
        </w:rPr>
        <w:t>…………………………………………7</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3.1 专业布局</w:t>
      </w:r>
      <w:r>
        <w:rPr>
          <w:rFonts w:hint="eastAsia" w:ascii="仿宋" w:hAnsi="仿宋" w:eastAsia="仿宋" w:cs="仿宋"/>
          <w:color w:val="000000"/>
          <w:kern w:val="0"/>
          <w:sz w:val="32"/>
          <w:szCs w:val="32"/>
        </w:rPr>
        <w:t>………………………………………………………7</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3.2 质量保证</w:t>
      </w:r>
      <w:r>
        <w:rPr>
          <w:rFonts w:hint="eastAsia" w:ascii="仿宋" w:hAnsi="仿宋" w:eastAsia="仿宋" w:cs="仿宋"/>
          <w:color w:val="000000"/>
          <w:kern w:val="0"/>
          <w:sz w:val="32"/>
          <w:szCs w:val="32"/>
        </w:rPr>
        <w:t>………………………………………………………8</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 xml:space="preserve">3.3 落实教师编制，教师培养培训情况 </w:t>
      </w:r>
      <w:r>
        <w:rPr>
          <w:rFonts w:hint="eastAsia" w:ascii="仿宋" w:hAnsi="仿宋" w:eastAsia="仿宋" w:cs="仿宋"/>
          <w:color w:val="000000"/>
          <w:kern w:val="0"/>
          <w:sz w:val="32"/>
          <w:szCs w:val="32"/>
        </w:rPr>
        <w:t>………………………12</w:t>
      </w:r>
    </w:p>
    <w:p>
      <w:pPr>
        <w:widowControl/>
        <w:spacing w:line="590" w:lineRule="exact"/>
        <w:jc w:val="left"/>
      </w:pPr>
      <w:r>
        <w:rPr>
          <w:rFonts w:hint="eastAsia" w:ascii="黑体" w:hAnsi="黑体" w:eastAsia="黑体" w:cs="黑体"/>
          <w:color w:val="000000"/>
          <w:kern w:val="0"/>
          <w:sz w:val="32"/>
          <w:szCs w:val="32"/>
        </w:rPr>
        <w:t xml:space="preserve">第四部分  校企合作 </w:t>
      </w:r>
      <w:r>
        <w:rPr>
          <w:rFonts w:hint="eastAsia" w:ascii="仿宋" w:hAnsi="仿宋" w:eastAsia="仿宋" w:cs="仿宋"/>
          <w:color w:val="000000"/>
          <w:kern w:val="0"/>
          <w:sz w:val="32"/>
          <w:szCs w:val="32"/>
        </w:rPr>
        <w:t>……………………………………………12</w:t>
      </w:r>
    </w:p>
    <w:p>
      <w:pPr>
        <w:widowControl/>
        <w:spacing w:line="590" w:lineRule="exact"/>
        <w:jc w:val="left"/>
        <w:rPr>
          <w:rFonts w:ascii="仿宋" w:hAnsi="仿宋" w:eastAsia="仿宋" w:cs="仿宋"/>
          <w:color w:val="000000"/>
          <w:kern w:val="0"/>
          <w:sz w:val="32"/>
          <w:szCs w:val="32"/>
        </w:rPr>
      </w:pPr>
      <w:r>
        <w:rPr>
          <w:rFonts w:hint="eastAsia" w:ascii="楷体" w:hAnsi="楷体" w:eastAsia="楷体" w:cs="楷体"/>
          <w:color w:val="000000"/>
          <w:kern w:val="0"/>
          <w:sz w:val="32"/>
          <w:szCs w:val="32"/>
        </w:rPr>
        <w:t xml:space="preserve">4.1 校企合作开展情况和效果 </w:t>
      </w:r>
      <w:r>
        <w:rPr>
          <w:rFonts w:hint="eastAsia" w:ascii="仿宋" w:hAnsi="仿宋" w:eastAsia="仿宋" w:cs="仿宋"/>
          <w:color w:val="000000"/>
          <w:kern w:val="0"/>
          <w:sz w:val="32"/>
          <w:szCs w:val="32"/>
        </w:rPr>
        <w:t>…………………………………12</w:t>
      </w:r>
    </w:p>
    <w:p>
      <w:pPr>
        <w:widowControl/>
        <w:spacing w:line="590" w:lineRule="exact"/>
        <w:jc w:val="left"/>
        <w:rPr>
          <w:rFonts w:ascii="仿宋" w:hAnsi="仿宋" w:eastAsia="仿宋" w:cs="仿宋"/>
          <w:color w:val="000000"/>
          <w:kern w:val="0"/>
          <w:sz w:val="31"/>
          <w:szCs w:val="31"/>
        </w:rPr>
      </w:pPr>
      <w:r>
        <w:rPr>
          <w:rFonts w:hint="eastAsia" w:ascii="楷体" w:hAnsi="楷体" w:eastAsia="楷体" w:cs="楷体"/>
          <w:color w:val="000000"/>
          <w:kern w:val="0"/>
          <w:sz w:val="32"/>
          <w:szCs w:val="32"/>
        </w:rPr>
        <w:t xml:space="preserve">4.2 学生实习情况 </w:t>
      </w:r>
      <w:r>
        <w:rPr>
          <w:rFonts w:hint="eastAsia" w:ascii="仿宋" w:hAnsi="仿宋" w:eastAsia="仿宋" w:cs="仿宋"/>
          <w:color w:val="000000"/>
          <w:kern w:val="0"/>
          <w:sz w:val="32"/>
          <w:szCs w:val="32"/>
        </w:rPr>
        <w:t>………………………………………………13</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1"/>
          <w:szCs w:val="31"/>
        </w:rPr>
        <w:t>4.3 集团化办学情况</w:t>
      </w:r>
      <w:r>
        <w:rPr>
          <w:rFonts w:hint="eastAsia" w:ascii="仿宋" w:hAnsi="仿宋" w:eastAsia="仿宋" w:cs="仿宋"/>
          <w:color w:val="000000"/>
          <w:kern w:val="0"/>
          <w:sz w:val="31"/>
          <w:szCs w:val="31"/>
        </w:rPr>
        <w:t xml:space="preserve">  </w:t>
      </w:r>
      <w:r>
        <w:rPr>
          <w:rFonts w:hint="eastAsia" w:ascii="仿宋" w:hAnsi="仿宋" w:eastAsia="仿宋" w:cs="仿宋"/>
          <w:color w:val="000000"/>
          <w:kern w:val="0"/>
          <w:sz w:val="32"/>
          <w:szCs w:val="32"/>
        </w:rPr>
        <w:t>…………………………………------- 14</w:t>
      </w:r>
    </w:p>
    <w:p>
      <w:pPr>
        <w:widowControl/>
        <w:spacing w:line="590" w:lineRule="exact"/>
        <w:jc w:val="left"/>
      </w:pPr>
      <w:r>
        <w:rPr>
          <w:rFonts w:hint="eastAsia" w:ascii="黑体" w:hAnsi="黑体" w:eastAsia="黑体" w:cs="黑体"/>
          <w:color w:val="000000"/>
          <w:kern w:val="0"/>
          <w:sz w:val="32"/>
          <w:szCs w:val="32"/>
        </w:rPr>
        <w:t>第五部分  社会贡献</w:t>
      </w:r>
      <w:r>
        <w:rPr>
          <w:rFonts w:hint="eastAsia" w:ascii="黑体" w:hAnsi="黑体" w:eastAsia="黑体" w:cs="黑体"/>
          <w:b/>
          <w:color w:val="000000"/>
          <w:kern w:val="0"/>
          <w:sz w:val="32"/>
          <w:szCs w:val="32"/>
        </w:rPr>
        <w:t xml:space="preserve"> </w:t>
      </w:r>
      <w:r>
        <w:rPr>
          <w:rFonts w:hint="eastAsia" w:ascii="仿宋" w:hAnsi="仿宋" w:eastAsia="仿宋" w:cs="仿宋"/>
          <w:color w:val="000000"/>
          <w:kern w:val="0"/>
          <w:sz w:val="32"/>
          <w:szCs w:val="32"/>
        </w:rPr>
        <w:t>……………………………………………14</w:t>
      </w:r>
    </w:p>
    <w:p>
      <w:pPr>
        <w:widowControl/>
        <w:spacing w:line="590" w:lineRule="exact"/>
        <w:jc w:val="left"/>
      </w:pPr>
      <w:r>
        <w:rPr>
          <w:rFonts w:hint="eastAsia" w:ascii="楷体" w:hAnsi="楷体" w:eastAsia="楷体" w:cs="楷体"/>
          <w:color w:val="000000"/>
          <w:kern w:val="0"/>
          <w:sz w:val="32"/>
          <w:szCs w:val="32"/>
        </w:rPr>
        <w:t xml:space="preserve">5.1 技术技能人才培养 </w:t>
      </w:r>
      <w:r>
        <w:rPr>
          <w:rFonts w:hint="eastAsia" w:ascii="仿宋" w:hAnsi="仿宋" w:eastAsia="仿宋" w:cs="仿宋"/>
          <w:color w:val="000000"/>
          <w:kern w:val="0"/>
          <w:sz w:val="32"/>
          <w:szCs w:val="32"/>
        </w:rPr>
        <w:t>…………………………………………14</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 xml:space="preserve">5.2 社会服务 </w:t>
      </w:r>
      <w:r>
        <w:rPr>
          <w:rFonts w:hint="eastAsia" w:ascii="仿宋" w:hAnsi="仿宋" w:eastAsia="仿宋" w:cs="仿宋"/>
          <w:color w:val="000000"/>
          <w:kern w:val="0"/>
          <w:sz w:val="32"/>
          <w:szCs w:val="32"/>
        </w:rPr>
        <w:t>……………………………………………………15</w:t>
      </w:r>
      <w:r>
        <w:rPr>
          <w:rFonts w:hint="eastAsia" w:ascii="仿宋" w:hAnsi="仿宋" w:eastAsia="仿宋" w:cs="仿宋"/>
          <w:color w:val="000000"/>
          <w:kern w:val="0"/>
          <w:sz w:val="31"/>
          <w:szCs w:val="31"/>
        </w:rPr>
        <w:t xml:space="preserve"> </w:t>
      </w:r>
    </w:p>
    <w:p>
      <w:pPr>
        <w:widowControl/>
        <w:spacing w:line="590" w:lineRule="exact"/>
        <w:jc w:val="left"/>
        <w:rPr>
          <w:rFonts w:ascii="黑体" w:hAnsi="黑体" w:eastAsia="黑体" w:cs="黑体"/>
          <w:b/>
          <w:color w:val="000000"/>
          <w:kern w:val="0"/>
          <w:sz w:val="32"/>
          <w:szCs w:val="32"/>
        </w:rPr>
      </w:pPr>
      <w:r>
        <w:rPr>
          <w:rFonts w:hint="eastAsia" w:ascii="楷体" w:hAnsi="楷体" w:eastAsia="楷体" w:cs="楷体"/>
          <w:color w:val="000000"/>
          <w:kern w:val="0"/>
          <w:sz w:val="32"/>
          <w:szCs w:val="32"/>
        </w:rPr>
        <w:t xml:space="preserve">5.3 对口支援 </w:t>
      </w:r>
      <w:r>
        <w:rPr>
          <w:rFonts w:hint="eastAsia" w:ascii="仿宋" w:hAnsi="仿宋" w:eastAsia="仿宋" w:cs="仿宋"/>
          <w:color w:val="000000"/>
          <w:kern w:val="0"/>
          <w:sz w:val="32"/>
          <w:szCs w:val="32"/>
        </w:rPr>
        <w:t>……………………………………………………16</w:t>
      </w:r>
    </w:p>
    <w:p>
      <w:pPr>
        <w:widowControl/>
        <w:spacing w:line="590" w:lineRule="exact"/>
        <w:jc w:val="left"/>
      </w:pPr>
      <w:r>
        <w:rPr>
          <w:rFonts w:hint="eastAsia" w:ascii="黑体" w:hAnsi="黑体" w:eastAsia="黑体" w:cs="黑体"/>
          <w:color w:val="000000"/>
          <w:kern w:val="0"/>
          <w:sz w:val="32"/>
          <w:szCs w:val="32"/>
        </w:rPr>
        <w:t>第六部分  政府履责</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rPr>
        <w:t>……………………………………………16</w:t>
      </w:r>
      <w:r>
        <w:rPr>
          <w:rFonts w:hint="eastAsia" w:ascii="仿宋" w:hAnsi="仿宋" w:eastAsia="仿宋" w:cs="仿宋"/>
          <w:color w:val="000000"/>
          <w:kern w:val="0"/>
          <w:sz w:val="31"/>
          <w:szCs w:val="31"/>
        </w:rPr>
        <w:t xml:space="preserve"> </w:t>
      </w:r>
    </w:p>
    <w:p>
      <w:pPr>
        <w:widowControl/>
        <w:spacing w:line="590" w:lineRule="exact"/>
        <w:jc w:val="left"/>
        <w:rPr>
          <w:rFonts w:ascii="仿宋" w:hAnsi="仿宋" w:eastAsia="仿宋" w:cs="仿宋"/>
          <w:color w:val="000000"/>
          <w:kern w:val="0"/>
          <w:sz w:val="32"/>
          <w:szCs w:val="32"/>
        </w:rPr>
      </w:pPr>
      <w:r>
        <w:rPr>
          <w:rFonts w:hint="eastAsia" w:ascii="楷体" w:hAnsi="楷体" w:eastAsia="楷体" w:cs="楷体"/>
          <w:color w:val="000000"/>
          <w:kern w:val="0"/>
          <w:sz w:val="32"/>
          <w:szCs w:val="32"/>
        </w:rPr>
        <w:t>6.1 经费</w:t>
      </w:r>
      <w:r>
        <w:rPr>
          <w:rFonts w:hint="eastAsia" w:ascii="楷体" w:hAnsi="楷体" w:eastAsia="楷体" w:cs="楷体"/>
          <w:color w:val="000000"/>
          <w:kern w:val="0"/>
          <w:sz w:val="32"/>
          <w:szCs w:val="32"/>
          <w:lang w:val="en-US" w:eastAsia="zh-CN"/>
        </w:rPr>
        <w:t xml:space="preserve"> </w:t>
      </w:r>
      <w:r>
        <w:rPr>
          <w:rFonts w:hint="eastAsia" w:ascii="仿宋" w:hAnsi="仿宋" w:eastAsia="仿宋" w:cs="仿宋"/>
          <w:color w:val="000000"/>
          <w:kern w:val="0"/>
          <w:sz w:val="32"/>
          <w:szCs w:val="32"/>
        </w:rPr>
        <w:t>…………………………………………………………16</w:t>
      </w:r>
    </w:p>
    <w:p>
      <w:pPr>
        <w:widowControl/>
        <w:spacing w:line="590" w:lineRule="exact"/>
        <w:jc w:val="left"/>
      </w:pPr>
      <w:r>
        <w:rPr>
          <w:rFonts w:hint="eastAsia" w:ascii="楷体" w:hAnsi="楷体" w:eastAsia="楷体" w:cs="楷体"/>
          <w:color w:val="000000"/>
          <w:kern w:val="0"/>
          <w:sz w:val="32"/>
          <w:szCs w:val="32"/>
        </w:rPr>
        <w:t>6.2 政策措施</w:t>
      </w:r>
      <w:r>
        <w:rPr>
          <w:rFonts w:hint="eastAsia" w:ascii="楷体" w:hAnsi="楷体" w:eastAsia="楷体" w:cs="楷体"/>
          <w:color w:val="000000"/>
          <w:kern w:val="0"/>
          <w:sz w:val="32"/>
          <w:szCs w:val="32"/>
          <w:lang w:val="en-US" w:eastAsia="zh-CN"/>
        </w:rPr>
        <w:t xml:space="preserve"> </w:t>
      </w:r>
      <w:r>
        <w:rPr>
          <w:rFonts w:hint="eastAsia" w:ascii="仿宋" w:hAnsi="仿宋" w:eastAsia="仿宋" w:cs="仿宋"/>
          <w:color w:val="000000"/>
          <w:kern w:val="0"/>
          <w:sz w:val="32"/>
          <w:szCs w:val="32"/>
        </w:rPr>
        <w:t>……………………………………………………17</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黑体" w:hAnsi="黑体" w:eastAsia="黑体" w:cs="黑体"/>
          <w:color w:val="000000"/>
          <w:kern w:val="0"/>
          <w:sz w:val="32"/>
          <w:szCs w:val="32"/>
        </w:rPr>
        <w:t>第七部分  特色创新</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rPr>
        <w:t>……………………………………………17</w:t>
      </w:r>
      <w:r>
        <w:rPr>
          <w:rFonts w:hint="eastAsia" w:ascii="仿宋" w:hAnsi="仿宋" w:eastAsia="仿宋" w:cs="仿宋"/>
          <w:color w:val="000000"/>
          <w:kern w:val="0"/>
          <w:sz w:val="31"/>
          <w:szCs w:val="31"/>
        </w:rPr>
        <w:t xml:space="preserve"> </w:t>
      </w:r>
    </w:p>
    <w:p>
      <w:pPr>
        <w:widowControl/>
        <w:spacing w:line="590" w:lineRule="exact"/>
        <w:jc w:val="left"/>
        <w:rPr>
          <w:rFonts w:ascii="楷体" w:hAnsi="楷体" w:eastAsia="楷体" w:cs="楷体"/>
          <w:spacing w:val="-6"/>
          <w:sz w:val="32"/>
          <w:szCs w:val="32"/>
        </w:rPr>
      </w:pPr>
      <w:r>
        <w:rPr>
          <w:rFonts w:hint="eastAsia" w:ascii="楷体" w:hAnsi="楷体" w:eastAsia="楷体" w:cs="楷体"/>
          <w:spacing w:val="-6"/>
          <w:sz w:val="32"/>
          <w:szCs w:val="32"/>
        </w:rPr>
        <w:t>案例一：强化技能提升 打造“匠心”校园</w:t>
      </w:r>
    </w:p>
    <w:p>
      <w:pPr>
        <w:widowControl/>
        <w:spacing w:line="590" w:lineRule="exact"/>
        <w:ind w:firstLine="1540" w:firstLineChars="500"/>
        <w:jc w:val="left"/>
      </w:pPr>
      <w:r>
        <w:rPr>
          <w:rFonts w:hint="eastAsia" w:ascii="楷体" w:hAnsi="楷体" w:eastAsia="楷体" w:cs="楷体"/>
          <w:spacing w:val="-6"/>
          <w:sz w:val="32"/>
          <w:szCs w:val="32"/>
        </w:rPr>
        <w:t>----登封市中等专业学校</w:t>
      </w:r>
      <w:r>
        <w:rPr>
          <w:rFonts w:hint="eastAsia" w:ascii="仿宋" w:hAnsi="仿宋" w:eastAsia="仿宋" w:cs="仿宋"/>
          <w:color w:val="000000"/>
          <w:kern w:val="0"/>
          <w:sz w:val="32"/>
          <w:szCs w:val="32"/>
        </w:rPr>
        <w:t>……………………………18</w:t>
      </w:r>
    </w:p>
    <w:p>
      <w:pPr>
        <w:widowControl/>
        <w:spacing w:line="590" w:lineRule="exact"/>
        <w:jc w:val="left"/>
        <w:rPr>
          <w:rFonts w:ascii="楷体" w:hAnsi="楷体" w:eastAsia="楷体" w:cs="楷体"/>
          <w:spacing w:val="-6"/>
          <w:sz w:val="32"/>
          <w:szCs w:val="32"/>
        </w:rPr>
      </w:pPr>
      <w:r>
        <w:rPr>
          <w:rFonts w:hint="eastAsia" w:ascii="楷体" w:hAnsi="楷体" w:eastAsia="楷体" w:cs="楷体"/>
          <w:spacing w:val="-6"/>
          <w:sz w:val="32"/>
          <w:szCs w:val="32"/>
        </w:rPr>
        <w:t>案例二：抢抓跨界跨项选材和“武术+”项目，实现学校多元化发展</w:t>
      </w:r>
    </w:p>
    <w:p>
      <w:pPr>
        <w:widowControl/>
        <w:spacing w:line="590" w:lineRule="exact"/>
        <w:ind w:firstLine="1540" w:firstLineChars="500"/>
        <w:jc w:val="left"/>
      </w:pPr>
      <w:r>
        <w:rPr>
          <w:rFonts w:hint="eastAsia" w:ascii="楷体" w:hAnsi="楷体" w:eastAsia="楷体" w:cs="楷体"/>
          <w:spacing w:val="-6"/>
          <w:sz w:val="32"/>
          <w:szCs w:val="32"/>
        </w:rPr>
        <w:t>----登封少林中等专业学校</w:t>
      </w:r>
      <w:r>
        <w:rPr>
          <w:rFonts w:hint="eastAsia" w:ascii="仿宋" w:hAnsi="仿宋" w:eastAsia="仿宋" w:cs="仿宋"/>
          <w:color w:val="000000"/>
          <w:kern w:val="0"/>
          <w:sz w:val="32"/>
          <w:szCs w:val="32"/>
        </w:rPr>
        <w:t>…………………………22</w:t>
      </w:r>
      <w:r>
        <w:rPr>
          <w:rFonts w:hint="eastAsia" w:ascii="仿宋" w:hAnsi="仿宋" w:eastAsia="仿宋" w:cs="仿宋"/>
          <w:color w:val="000000"/>
          <w:kern w:val="0"/>
          <w:sz w:val="31"/>
          <w:szCs w:val="31"/>
        </w:rPr>
        <w:t xml:space="preserve"> </w:t>
      </w:r>
    </w:p>
    <w:p>
      <w:pPr>
        <w:widowControl/>
        <w:spacing w:line="590" w:lineRule="exact"/>
        <w:jc w:val="left"/>
        <w:rPr>
          <w:rFonts w:ascii="楷体" w:hAnsi="楷体" w:eastAsia="楷体" w:cs="楷体"/>
          <w:spacing w:val="-6"/>
          <w:sz w:val="32"/>
          <w:szCs w:val="32"/>
        </w:rPr>
      </w:pPr>
      <w:r>
        <w:rPr>
          <w:rFonts w:hint="eastAsia" w:ascii="楷体" w:hAnsi="楷体" w:eastAsia="楷体" w:cs="楷体"/>
          <w:spacing w:val="-6"/>
          <w:sz w:val="32"/>
          <w:szCs w:val="32"/>
        </w:rPr>
        <w:t>案例三：发挥党建引领作用，注入学校发展活力</w:t>
      </w:r>
    </w:p>
    <w:p>
      <w:pPr>
        <w:widowControl/>
        <w:spacing w:line="590" w:lineRule="exact"/>
        <w:ind w:firstLine="1540" w:firstLineChars="500"/>
        <w:jc w:val="left"/>
      </w:pPr>
      <w:r>
        <w:rPr>
          <w:rFonts w:hint="eastAsia" w:ascii="楷体" w:hAnsi="楷体" w:eastAsia="楷体" w:cs="楷体"/>
          <w:spacing w:val="-6"/>
          <w:sz w:val="32"/>
          <w:szCs w:val="32"/>
        </w:rPr>
        <w:t>----登封市少林鹅坡武术中等专业学校</w:t>
      </w:r>
      <w:r>
        <w:rPr>
          <w:rFonts w:hint="eastAsia" w:ascii="仿宋" w:hAnsi="仿宋" w:eastAsia="仿宋" w:cs="仿宋"/>
          <w:color w:val="000000"/>
          <w:kern w:val="0"/>
          <w:sz w:val="32"/>
          <w:szCs w:val="32"/>
        </w:rPr>
        <w:t>……………23</w:t>
      </w:r>
      <w:r>
        <w:rPr>
          <w:rFonts w:hint="eastAsia" w:ascii="仿宋" w:hAnsi="仿宋" w:eastAsia="仿宋" w:cs="仿宋"/>
          <w:color w:val="000000"/>
          <w:kern w:val="0"/>
          <w:sz w:val="31"/>
          <w:szCs w:val="31"/>
        </w:rPr>
        <w:t xml:space="preserve"> </w:t>
      </w:r>
    </w:p>
    <w:p>
      <w:pPr>
        <w:widowControl/>
        <w:spacing w:line="590" w:lineRule="exact"/>
        <w:jc w:val="left"/>
        <w:rPr>
          <w:rFonts w:ascii="仿宋" w:hAnsi="仿宋" w:eastAsia="仿宋" w:cs="仿宋"/>
          <w:color w:val="000000"/>
          <w:kern w:val="0"/>
          <w:sz w:val="32"/>
          <w:szCs w:val="32"/>
        </w:rPr>
      </w:pPr>
      <w:r>
        <w:rPr>
          <w:rFonts w:hint="eastAsia" w:ascii="黑体" w:hAnsi="黑体" w:eastAsia="黑体" w:cs="黑体"/>
          <w:color w:val="000000"/>
          <w:kern w:val="0"/>
          <w:sz w:val="32"/>
          <w:szCs w:val="32"/>
        </w:rPr>
        <w:t>第八部分  学校党建工作情况</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rPr>
        <w:t>…</w:t>
      </w:r>
      <w:r>
        <w:rPr>
          <w:rFonts w:hint="eastAsia" w:ascii="黑体" w:hAnsi="黑体" w:eastAsia="黑体" w:cs="黑体"/>
          <w:color w:val="000000"/>
          <w:kern w:val="0"/>
          <w:sz w:val="32"/>
          <w:szCs w:val="32"/>
        </w:rPr>
        <w:t>…</w:t>
      </w:r>
      <w:r>
        <w:rPr>
          <w:rFonts w:hint="eastAsia" w:ascii="仿宋" w:hAnsi="仿宋" w:eastAsia="仿宋" w:cs="仿宋"/>
          <w:color w:val="000000"/>
          <w:kern w:val="0"/>
          <w:sz w:val="32"/>
          <w:szCs w:val="32"/>
        </w:rPr>
        <w:t>……………………………23</w:t>
      </w:r>
    </w:p>
    <w:p>
      <w:pPr>
        <w:widowControl/>
        <w:spacing w:line="590" w:lineRule="exact"/>
        <w:jc w:val="left"/>
      </w:pPr>
      <w:r>
        <w:rPr>
          <w:rFonts w:hint="eastAsia" w:ascii="楷体" w:hAnsi="楷体" w:eastAsia="楷体" w:cs="楷体"/>
          <w:color w:val="000000"/>
          <w:kern w:val="0"/>
          <w:sz w:val="32"/>
          <w:szCs w:val="32"/>
        </w:rPr>
        <w:t>8.1  规范和加强基层党建工作</w:t>
      </w:r>
      <w:r>
        <w:rPr>
          <w:rFonts w:hint="eastAsia" w:ascii="仿宋" w:hAnsi="仿宋" w:eastAsia="仿宋" w:cs="仿宋"/>
          <w:color w:val="000000"/>
          <w:kern w:val="0"/>
          <w:sz w:val="32"/>
          <w:szCs w:val="32"/>
        </w:rPr>
        <w:t>…………………………………24</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8.2 开展党员集中教育活动</w:t>
      </w:r>
      <w:r>
        <w:rPr>
          <w:rFonts w:hint="eastAsia" w:ascii="楷体" w:hAnsi="楷体" w:eastAsia="楷体" w:cs="楷体"/>
          <w:color w:val="000000"/>
          <w:kern w:val="0"/>
          <w:sz w:val="32"/>
          <w:szCs w:val="32"/>
          <w:lang w:val="en-US" w:eastAsia="zh-CN"/>
        </w:rPr>
        <w:t xml:space="preserve"> </w:t>
      </w:r>
      <w:r>
        <w:rPr>
          <w:rFonts w:hint="eastAsia" w:ascii="仿宋" w:hAnsi="仿宋" w:eastAsia="仿宋" w:cs="仿宋"/>
          <w:color w:val="000000"/>
          <w:kern w:val="0"/>
          <w:sz w:val="32"/>
          <w:szCs w:val="32"/>
        </w:rPr>
        <w:t>……………………………………24</w:t>
      </w:r>
    </w:p>
    <w:p>
      <w:pPr>
        <w:widowControl/>
        <w:spacing w:line="590" w:lineRule="exact"/>
        <w:jc w:val="left"/>
        <w:rPr>
          <w:rFonts w:ascii="仿宋" w:hAnsi="仿宋" w:eastAsia="仿宋" w:cs="仿宋"/>
          <w:color w:val="000000"/>
          <w:kern w:val="0"/>
          <w:sz w:val="32"/>
          <w:szCs w:val="32"/>
        </w:rPr>
      </w:pPr>
      <w:r>
        <w:rPr>
          <w:rFonts w:hint="eastAsia" w:ascii="楷体" w:hAnsi="楷体" w:eastAsia="楷体" w:cs="楷体"/>
          <w:color w:val="000000"/>
          <w:kern w:val="0"/>
          <w:sz w:val="32"/>
          <w:szCs w:val="32"/>
        </w:rPr>
        <w:t>8.3 不断强化理论学习</w:t>
      </w:r>
      <w:r>
        <w:rPr>
          <w:rFonts w:hint="eastAsia" w:ascii="楷体" w:hAnsi="楷体" w:eastAsia="楷体" w:cs="楷体"/>
          <w:color w:val="000000"/>
          <w:kern w:val="0"/>
          <w:sz w:val="32"/>
          <w:szCs w:val="32"/>
          <w:lang w:val="en-US" w:eastAsia="zh-CN"/>
        </w:rPr>
        <w:t xml:space="preserve"> </w:t>
      </w:r>
      <w:r>
        <w:rPr>
          <w:rFonts w:hint="eastAsia" w:ascii="仿宋" w:hAnsi="仿宋" w:eastAsia="仿宋" w:cs="仿宋"/>
          <w:color w:val="000000"/>
          <w:kern w:val="0"/>
          <w:sz w:val="32"/>
          <w:szCs w:val="32"/>
        </w:rPr>
        <w:t>…………………………………………25</w:t>
      </w:r>
    </w:p>
    <w:p>
      <w:pPr>
        <w:widowControl/>
        <w:spacing w:line="590" w:lineRule="exact"/>
        <w:jc w:val="left"/>
      </w:pPr>
      <w:r>
        <w:rPr>
          <w:rFonts w:hint="eastAsia" w:ascii="黑体" w:hAnsi="黑体" w:eastAsia="黑体" w:cs="黑体"/>
          <w:color w:val="000000"/>
          <w:kern w:val="0"/>
          <w:sz w:val="32"/>
          <w:szCs w:val="32"/>
        </w:rPr>
        <w:t>第九部分  主要问题和改进措施</w:t>
      </w:r>
      <w:r>
        <w:rPr>
          <w:rFonts w:hint="eastAsia" w:ascii="黑体" w:hAnsi="黑体" w:eastAsia="黑体" w:cs="黑体"/>
          <w:color w:val="000000"/>
          <w:kern w:val="0"/>
          <w:sz w:val="32"/>
          <w:szCs w:val="32"/>
          <w:lang w:val="en-US" w:eastAsia="zh-CN"/>
        </w:rPr>
        <w:t xml:space="preserve"> </w:t>
      </w:r>
      <w:r>
        <w:rPr>
          <w:rFonts w:hint="eastAsia" w:ascii="仿宋" w:hAnsi="仿宋" w:eastAsia="仿宋" w:cs="仿宋"/>
          <w:color w:val="000000"/>
          <w:kern w:val="0"/>
          <w:sz w:val="32"/>
          <w:szCs w:val="32"/>
        </w:rPr>
        <w:t>………………………………25</w:t>
      </w:r>
      <w:r>
        <w:rPr>
          <w:rFonts w:hint="eastAsia" w:ascii="仿宋" w:hAnsi="仿宋" w:eastAsia="仿宋" w:cs="仿宋"/>
          <w:color w:val="000000"/>
          <w:kern w:val="0"/>
          <w:sz w:val="31"/>
          <w:szCs w:val="31"/>
        </w:rPr>
        <w:t xml:space="preserve"> </w:t>
      </w:r>
    </w:p>
    <w:p>
      <w:pPr>
        <w:widowControl/>
        <w:spacing w:line="590" w:lineRule="exact"/>
        <w:jc w:val="left"/>
      </w:pPr>
      <w:r>
        <w:rPr>
          <w:rFonts w:hint="eastAsia" w:ascii="楷体" w:hAnsi="楷体" w:eastAsia="楷体" w:cs="楷体"/>
          <w:color w:val="000000"/>
          <w:kern w:val="0"/>
          <w:sz w:val="32"/>
          <w:szCs w:val="32"/>
        </w:rPr>
        <w:t>9.1 存在问题</w:t>
      </w:r>
      <w:r>
        <w:rPr>
          <w:rFonts w:hint="eastAsia" w:ascii="楷体" w:hAnsi="楷体" w:eastAsia="楷体" w:cs="楷体"/>
          <w:color w:val="000000"/>
          <w:kern w:val="0"/>
          <w:sz w:val="32"/>
          <w:szCs w:val="32"/>
          <w:lang w:val="en-US" w:eastAsia="zh-CN"/>
        </w:rPr>
        <w:t xml:space="preserve"> </w:t>
      </w:r>
      <w:r>
        <w:rPr>
          <w:rFonts w:hint="eastAsia" w:ascii="仿宋" w:hAnsi="仿宋" w:eastAsia="仿宋" w:cs="仿宋"/>
          <w:color w:val="000000"/>
          <w:kern w:val="0"/>
          <w:sz w:val="32"/>
          <w:szCs w:val="32"/>
        </w:rPr>
        <w:t>……………………………………………………25</w:t>
      </w:r>
    </w:p>
    <w:p>
      <w:pPr>
        <w:widowControl/>
        <w:spacing w:line="590" w:lineRule="exact"/>
        <w:jc w:val="left"/>
        <w:rPr>
          <w:rFonts w:ascii="仿宋" w:hAnsi="仿宋" w:eastAsia="仿宋" w:cs="仿宋"/>
          <w:color w:val="000000"/>
          <w:kern w:val="0"/>
          <w:sz w:val="32"/>
          <w:szCs w:val="32"/>
        </w:rPr>
      </w:pPr>
      <w:r>
        <w:rPr>
          <w:rFonts w:hint="eastAsia" w:ascii="楷体" w:hAnsi="楷体" w:eastAsia="楷体" w:cs="楷体"/>
          <w:color w:val="000000"/>
          <w:kern w:val="0"/>
          <w:sz w:val="32"/>
          <w:szCs w:val="32"/>
        </w:rPr>
        <w:t>9.2 改进措施</w:t>
      </w:r>
      <w:r>
        <w:rPr>
          <w:rFonts w:hint="eastAsia" w:ascii="楷体" w:hAnsi="楷体" w:eastAsia="楷体" w:cs="楷体"/>
          <w:color w:val="000000"/>
          <w:kern w:val="0"/>
          <w:sz w:val="32"/>
          <w:szCs w:val="32"/>
          <w:lang w:val="en-US" w:eastAsia="zh-CN"/>
        </w:rPr>
        <w:t xml:space="preserve"> </w:t>
      </w:r>
      <w:bookmarkStart w:id="1" w:name="_GoBack"/>
      <w:bookmarkEnd w:id="1"/>
      <w:r>
        <w:rPr>
          <w:rFonts w:hint="eastAsia" w:ascii="仿宋" w:hAnsi="仿宋" w:eastAsia="仿宋" w:cs="仿宋"/>
          <w:color w:val="000000"/>
          <w:kern w:val="0"/>
          <w:sz w:val="32"/>
          <w:szCs w:val="32"/>
        </w:rPr>
        <w:t>……………………………………………………26</w:t>
      </w:r>
    </w:p>
    <w:p>
      <w:pPr>
        <w:spacing w:line="590" w:lineRule="exact"/>
        <w:jc w:val="center"/>
        <w:rPr>
          <w:rFonts w:ascii="方正小标宋_GBK" w:hAnsi="方正小标宋_GBK" w:eastAsia="方正小标宋_GBK" w:cs="方正小标宋_GBK"/>
          <w:sz w:val="44"/>
          <w:szCs w:val="44"/>
        </w:rPr>
        <w:sectPr>
          <w:footerReference r:id="rId3" w:type="default"/>
          <w:pgSz w:w="11906" w:h="16838"/>
          <w:pgMar w:top="2098" w:right="1474" w:bottom="1985" w:left="1588" w:header="851" w:footer="1418" w:gutter="0"/>
          <w:pgNumType w:fmt="numberInDash"/>
          <w:cols w:space="0" w:num="1"/>
          <w:docGrid w:type="lines" w:linePitch="312" w:charSpace="0"/>
        </w:sectPr>
      </w:pPr>
    </w:p>
    <w:p>
      <w:pPr>
        <w:widowControl/>
        <w:spacing w:line="590" w:lineRule="exact"/>
        <w:jc w:val="center"/>
        <w:rPr>
          <w:rFonts w:ascii="方正小标宋_GBK" w:eastAsia="方正小标宋_GBK" w:hAnsiTheme="majorEastAsia"/>
          <w:b/>
          <w:sz w:val="44"/>
          <w:szCs w:val="44"/>
        </w:rPr>
      </w:pPr>
      <w:r>
        <w:rPr>
          <w:rFonts w:hint="eastAsia" w:ascii="方正小标宋_GBK" w:eastAsia="方正小标宋_GBK" w:hAnsiTheme="majorEastAsia"/>
          <w:b/>
          <w:sz w:val="44"/>
          <w:szCs w:val="44"/>
        </w:rPr>
        <w:t>登封市中等职业教育年度质量报告</w:t>
      </w:r>
    </w:p>
    <w:p>
      <w:pPr>
        <w:widowControl/>
        <w:spacing w:line="590" w:lineRule="exact"/>
        <w:jc w:val="center"/>
        <w:rPr>
          <w:rFonts w:ascii="方正小标宋_GBK" w:eastAsia="方正小标宋_GBK" w:hAnsiTheme="majorEastAsia"/>
          <w:b/>
          <w:sz w:val="44"/>
          <w:szCs w:val="44"/>
        </w:rPr>
      </w:pPr>
      <w:r>
        <w:rPr>
          <w:rFonts w:hint="eastAsia" w:ascii="方正小标宋_GBK" w:eastAsia="方正小标宋_GBK" w:hAnsiTheme="majorEastAsia"/>
          <w:b/>
          <w:sz w:val="44"/>
          <w:szCs w:val="44"/>
        </w:rPr>
        <w:t>（2020年）</w:t>
      </w:r>
    </w:p>
    <w:p>
      <w:pPr>
        <w:widowControl/>
        <w:spacing w:line="590" w:lineRule="exact"/>
        <w:ind w:firstLine="480" w:firstLineChars="150"/>
        <w:rPr>
          <w:rFonts w:ascii="仿宋_GB2312" w:eastAsia="仿宋_GB2312"/>
          <w:sz w:val="32"/>
          <w:szCs w:val="32"/>
        </w:rPr>
      </w:pPr>
    </w:p>
    <w:p>
      <w:pPr>
        <w:spacing w:line="590" w:lineRule="exact"/>
        <w:ind w:firstLine="640" w:firstLineChars="200"/>
        <w:rPr>
          <w:rFonts w:ascii="仿宋" w:hAnsi="仿宋" w:eastAsia="仿宋" w:cs="宋体"/>
          <w:kern w:val="0"/>
          <w:sz w:val="32"/>
          <w:szCs w:val="32"/>
        </w:rPr>
      </w:pPr>
      <w:r>
        <w:rPr>
          <w:rFonts w:hint="eastAsia" w:ascii="仿宋" w:hAnsi="仿宋" w:eastAsia="仿宋" w:cs="宋体"/>
          <w:kern w:val="0"/>
          <w:sz w:val="32"/>
          <w:szCs w:val="32"/>
        </w:rPr>
        <w:t>2020年是我国实现第一个百年目标--全面建成小康社会的收官之年，也是深入贯彻落实全国全省全市教育大会精神，建设登封美好教育的关键之年。一年来，登封中等职业教育</w:t>
      </w:r>
      <w:r>
        <w:rPr>
          <w:rFonts w:ascii="仿宋" w:hAnsi="仿宋" w:eastAsia="仿宋" w:cs="宋体"/>
          <w:kern w:val="0"/>
          <w:sz w:val="32"/>
          <w:szCs w:val="32"/>
        </w:rPr>
        <w:t>以习近平新时代中国特色社会主义思想为指导，</w:t>
      </w:r>
      <w:r>
        <w:rPr>
          <w:rFonts w:hint="eastAsia" w:ascii="仿宋" w:hAnsi="仿宋" w:eastAsia="仿宋" w:cs="宋体"/>
          <w:kern w:val="0"/>
          <w:sz w:val="32"/>
          <w:szCs w:val="32"/>
        </w:rPr>
        <w:t>全面贯彻党的十九大和十九届二中、三中、四中、五中全会精神，坚持党的教育方针，坚持立德树人根本任务，全面落实市委</w:t>
      </w:r>
      <w:r>
        <w:rPr>
          <w:rFonts w:hint="eastAsia" w:ascii="仿宋" w:hAnsi="仿宋" w:eastAsia="仿宋" w:cs="宋体"/>
          <w:kern w:val="0"/>
          <w:sz w:val="32"/>
          <w:szCs w:val="32"/>
          <w:lang w:eastAsia="zh-CN"/>
        </w:rPr>
        <w:t>市</w:t>
      </w:r>
      <w:r>
        <w:rPr>
          <w:rFonts w:hint="eastAsia" w:ascii="仿宋" w:hAnsi="仿宋" w:eastAsia="仿宋" w:cs="宋体"/>
          <w:kern w:val="0"/>
          <w:sz w:val="32"/>
          <w:szCs w:val="32"/>
        </w:rPr>
        <w:t>政府决策部署，全面深化职业教育改革，党建领航，质量固本，强化落实，不断创新，通过整合资源，优化结构和集中治理，办学质量明显提升，内涵动力持续增强，形成了公办学校龙头带动，民办武术学校特色发展的良好局面。</w:t>
      </w:r>
    </w:p>
    <w:p>
      <w:pPr>
        <w:widowControl/>
        <w:spacing w:line="590" w:lineRule="exact"/>
        <w:jc w:val="center"/>
        <w:rPr>
          <w:rFonts w:ascii="黑体" w:hAnsi="黑体" w:eastAsia="黑体"/>
          <w:b/>
          <w:bCs/>
          <w:sz w:val="32"/>
          <w:szCs w:val="32"/>
        </w:rPr>
      </w:pPr>
      <w:r>
        <w:rPr>
          <w:rFonts w:hint="eastAsia" w:ascii="黑体" w:hAnsi="黑体" w:eastAsia="黑体"/>
          <w:b/>
          <w:bCs/>
          <w:sz w:val="32"/>
          <w:szCs w:val="32"/>
        </w:rPr>
        <w:t>第一部分  基本情况</w:t>
      </w:r>
    </w:p>
    <w:p>
      <w:pPr>
        <w:widowControl/>
        <w:spacing w:line="590" w:lineRule="exact"/>
        <w:ind w:firstLine="643" w:firstLineChars="200"/>
        <w:rPr>
          <w:rFonts w:ascii="楷体" w:hAnsi="楷体" w:eastAsia="楷体"/>
          <w:b/>
          <w:bCs/>
          <w:sz w:val="32"/>
          <w:szCs w:val="32"/>
        </w:rPr>
      </w:pPr>
      <w:r>
        <w:rPr>
          <w:rFonts w:hint="eastAsia" w:ascii="楷体" w:hAnsi="楷体" w:eastAsia="楷体"/>
          <w:b/>
          <w:bCs/>
          <w:sz w:val="32"/>
          <w:szCs w:val="32"/>
        </w:rPr>
        <w:t>1.1  规模和结构</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全市现有中等职业学校8所。公办1所(登封市中等专业学校)，民办7所（登封市少林鹅坡武术中等专业学校、登封林峰少林武术中等专业学校、登封少林中等专业学校、登封中岳中等专业学校、登封少林弘武中等专业学校、登封万羊武术中等专业学校、少林小龙武术中等专业学校）。</w:t>
      </w:r>
    </w:p>
    <w:p>
      <w:pPr>
        <w:spacing w:line="590" w:lineRule="exact"/>
        <w:ind w:firstLine="640" w:firstLineChars="200"/>
        <w:rPr>
          <w:rFonts w:ascii="仿宋" w:hAnsi="仿宋" w:eastAsia="仿宋"/>
          <w:sz w:val="32"/>
          <w:szCs w:val="32"/>
        </w:rPr>
      </w:pPr>
      <w:r>
        <w:rPr>
          <w:rFonts w:hint="eastAsia" w:ascii="仿宋" w:hAnsi="仿宋" w:eastAsia="仿宋"/>
          <w:sz w:val="32"/>
          <w:szCs w:val="32"/>
        </w:rPr>
        <w:t>随着公办职业学校资源整合和专业调整深入推进，民办学校综合整治和内涵发展，我市职业教育在人民群众中的影响力不断增强，认可度持续提升，中职学校招生规模总体平稳，质量呈上升态势。目前，登封现有在校生28786人，其中，公办2683人，民办26103人。</w:t>
      </w:r>
    </w:p>
    <w:p>
      <w:pPr>
        <w:spacing w:line="590" w:lineRule="exact"/>
        <w:ind w:firstLine="640" w:firstLineChars="200"/>
        <w:rPr>
          <w:rFonts w:hint="eastAsia" w:ascii="仿宋" w:hAnsi="仿宋" w:eastAsia="仿宋"/>
          <w:sz w:val="32"/>
          <w:szCs w:val="32"/>
        </w:rPr>
      </w:pPr>
      <w:r>
        <w:rPr>
          <w:rFonts w:hint="eastAsia" w:ascii="仿宋" w:hAnsi="仿宋" w:eastAsia="仿宋"/>
          <w:sz w:val="32"/>
          <w:szCs w:val="32"/>
        </w:rPr>
        <w:t>职业学校现有教职工1686人，比上年增加69人。其中：公办学校181人，民办学校1505人。专任教师1395人，其中，公办学校143人，民办学校1252人。现有在校生28786人，同上年25899人相比，增加2887人。其中，公办2683人，比上年增加615人，民办26103人，比上年减少1422人。2020年中职学校招生14733人，比上一年度招生高0.15个百分点。</w:t>
      </w:r>
    </w:p>
    <w:tbl>
      <w:tblPr>
        <w:tblStyle w:val="10"/>
        <w:tblpPr w:leftFromText="180" w:rightFromText="180" w:vertAnchor="text" w:horzAnchor="margin" w:tblpXSpec="center" w:tblpY="719"/>
        <w:tblW w:w="77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1701"/>
        <w:gridCol w:w="1701"/>
        <w:gridCol w:w="1984"/>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1196" w:hRule="atLeast"/>
        </w:trPr>
        <w:tc>
          <w:tcPr>
            <w:tcW w:w="1134" w:type="dxa"/>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年份</w:t>
            </w:r>
          </w:p>
        </w:tc>
        <w:tc>
          <w:tcPr>
            <w:tcW w:w="1701" w:type="dxa"/>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学生总数</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w:t>
            </w:r>
          </w:p>
        </w:tc>
        <w:tc>
          <w:tcPr>
            <w:tcW w:w="1701" w:type="dxa"/>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普通高中</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招生数（人）</w:t>
            </w:r>
          </w:p>
        </w:tc>
        <w:tc>
          <w:tcPr>
            <w:tcW w:w="1984" w:type="dxa"/>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中职学校</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招生数（人）</w:t>
            </w:r>
          </w:p>
        </w:tc>
        <w:tc>
          <w:tcPr>
            <w:tcW w:w="1276" w:type="dxa"/>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招生</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普职比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21" w:hRule="atLeast"/>
        </w:trPr>
        <w:tc>
          <w:tcPr>
            <w:tcW w:w="1134"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2019</w:t>
            </w:r>
          </w:p>
        </w:tc>
        <w:tc>
          <w:tcPr>
            <w:tcW w:w="1701" w:type="dxa"/>
          </w:tcPr>
          <w:p>
            <w:pPr>
              <w:widowControl/>
              <w:spacing w:line="590" w:lineRule="exact"/>
              <w:jc w:val="center"/>
              <w:rPr>
                <w:rFonts w:ascii="仿宋" w:hAnsi="仿宋" w:eastAsia="仿宋" w:cs="宋体"/>
                <w:color w:val="252525" w:themeColor="text1" w:themeTint="D9"/>
                <w:kern w:val="0"/>
                <w:sz w:val="24"/>
                <w:szCs w:val="24"/>
              </w:rPr>
            </w:pPr>
            <w:r>
              <w:rPr>
                <w:rFonts w:hint="eastAsia" w:ascii="仿宋" w:hAnsi="仿宋" w:eastAsia="仿宋" w:cs="宋体"/>
                <w:color w:val="252525" w:themeColor="text1" w:themeTint="D9"/>
                <w:kern w:val="0"/>
                <w:sz w:val="24"/>
                <w:szCs w:val="24"/>
              </w:rPr>
              <w:t>25899</w:t>
            </w:r>
          </w:p>
        </w:tc>
        <w:tc>
          <w:tcPr>
            <w:tcW w:w="1701" w:type="dxa"/>
          </w:tcPr>
          <w:p>
            <w:pPr>
              <w:widowControl/>
              <w:spacing w:line="590" w:lineRule="exact"/>
              <w:jc w:val="center"/>
              <w:rPr>
                <w:rFonts w:ascii="仿宋" w:hAnsi="仿宋" w:eastAsia="仿宋" w:cs="宋体"/>
                <w:color w:val="252525" w:themeColor="text1" w:themeTint="D9"/>
                <w:kern w:val="0"/>
                <w:sz w:val="24"/>
                <w:szCs w:val="24"/>
              </w:rPr>
            </w:pPr>
            <w:r>
              <w:rPr>
                <w:rFonts w:hint="eastAsia" w:ascii="仿宋" w:hAnsi="仿宋" w:eastAsia="仿宋" w:cs="宋体"/>
                <w:color w:val="252525" w:themeColor="text1" w:themeTint="D9"/>
                <w:kern w:val="0"/>
                <w:sz w:val="24"/>
                <w:szCs w:val="24"/>
              </w:rPr>
              <w:t>5497</w:t>
            </w:r>
          </w:p>
        </w:tc>
        <w:tc>
          <w:tcPr>
            <w:tcW w:w="1984" w:type="dxa"/>
          </w:tcPr>
          <w:p>
            <w:pPr>
              <w:widowControl/>
              <w:spacing w:line="590" w:lineRule="exact"/>
              <w:jc w:val="center"/>
              <w:rPr>
                <w:rFonts w:ascii="仿宋" w:hAnsi="仿宋" w:eastAsia="仿宋" w:cs="宋体"/>
                <w:color w:val="252525" w:themeColor="text1" w:themeTint="D9"/>
                <w:kern w:val="0"/>
                <w:sz w:val="24"/>
                <w:szCs w:val="24"/>
              </w:rPr>
            </w:pPr>
            <w:r>
              <w:rPr>
                <w:rFonts w:hint="eastAsia" w:ascii="仿宋" w:hAnsi="仿宋" w:eastAsia="仿宋" w:cs="宋体"/>
                <w:color w:val="252525" w:themeColor="text1" w:themeTint="D9"/>
                <w:kern w:val="0"/>
                <w:sz w:val="24"/>
                <w:szCs w:val="24"/>
              </w:rPr>
              <w:t>12193</w:t>
            </w:r>
          </w:p>
        </w:tc>
        <w:tc>
          <w:tcPr>
            <w:tcW w:w="1276" w:type="dxa"/>
          </w:tcPr>
          <w:p>
            <w:pPr>
              <w:widowControl/>
              <w:spacing w:line="590" w:lineRule="exact"/>
              <w:jc w:val="center"/>
              <w:rPr>
                <w:rFonts w:ascii="仿宋" w:hAnsi="仿宋" w:eastAsia="仿宋" w:cs="宋体"/>
                <w:color w:val="252525" w:themeColor="text1" w:themeTint="D9"/>
                <w:kern w:val="0"/>
                <w:sz w:val="24"/>
                <w:szCs w:val="24"/>
              </w:rPr>
            </w:pPr>
            <w:r>
              <w:rPr>
                <w:rFonts w:hint="eastAsia" w:ascii="仿宋" w:hAnsi="仿宋" w:eastAsia="仿宋" w:cs="宋体"/>
                <w:color w:val="252525" w:themeColor="text1" w:themeTint="D9"/>
                <w:kern w:val="0"/>
                <w:sz w:val="24"/>
                <w:szCs w:val="24"/>
              </w:rPr>
              <w:t>1:2.2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134"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2020</w:t>
            </w:r>
          </w:p>
        </w:tc>
        <w:tc>
          <w:tcPr>
            <w:tcW w:w="1701" w:type="dxa"/>
          </w:tcPr>
          <w:p>
            <w:pPr>
              <w:widowControl/>
              <w:spacing w:line="590" w:lineRule="exact"/>
              <w:jc w:val="center"/>
              <w:rPr>
                <w:rFonts w:ascii="仿宋" w:hAnsi="仿宋" w:eastAsia="仿宋" w:cs="宋体"/>
                <w:color w:val="252525" w:themeColor="text1" w:themeTint="D9"/>
                <w:kern w:val="0"/>
                <w:sz w:val="24"/>
                <w:szCs w:val="24"/>
              </w:rPr>
            </w:pPr>
            <w:r>
              <w:rPr>
                <w:rFonts w:hint="eastAsia" w:ascii="仿宋" w:hAnsi="仿宋" w:eastAsia="仿宋" w:cs="宋体"/>
                <w:color w:val="252525" w:themeColor="text1" w:themeTint="D9"/>
                <w:kern w:val="0"/>
                <w:sz w:val="24"/>
                <w:szCs w:val="24"/>
              </w:rPr>
              <w:t>28786</w:t>
            </w:r>
          </w:p>
        </w:tc>
        <w:tc>
          <w:tcPr>
            <w:tcW w:w="1701" w:type="dxa"/>
          </w:tcPr>
          <w:p>
            <w:pPr>
              <w:widowControl/>
              <w:spacing w:line="590" w:lineRule="exact"/>
              <w:jc w:val="center"/>
              <w:rPr>
                <w:rFonts w:ascii="仿宋" w:hAnsi="仿宋" w:eastAsia="仿宋" w:cs="宋体"/>
                <w:color w:val="252525" w:themeColor="text1" w:themeTint="D9"/>
                <w:kern w:val="0"/>
                <w:sz w:val="24"/>
                <w:szCs w:val="24"/>
              </w:rPr>
            </w:pPr>
            <w:r>
              <w:rPr>
                <w:rFonts w:hint="eastAsia" w:ascii="仿宋" w:hAnsi="仿宋" w:eastAsia="仿宋" w:cs="宋体"/>
                <w:color w:val="252525" w:themeColor="text1" w:themeTint="D9"/>
                <w:kern w:val="0"/>
                <w:sz w:val="24"/>
                <w:szCs w:val="24"/>
              </w:rPr>
              <w:t>5499</w:t>
            </w:r>
          </w:p>
        </w:tc>
        <w:tc>
          <w:tcPr>
            <w:tcW w:w="1984" w:type="dxa"/>
          </w:tcPr>
          <w:p>
            <w:pPr>
              <w:widowControl/>
              <w:spacing w:line="590" w:lineRule="exact"/>
              <w:jc w:val="center"/>
              <w:rPr>
                <w:rFonts w:ascii="仿宋" w:hAnsi="仿宋" w:eastAsia="仿宋" w:cs="宋体"/>
                <w:color w:val="252525" w:themeColor="text1" w:themeTint="D9"/>
                <w:kern w:val="0"/>
                <w:sz w:val="24"/>
                <w:szCs w:val="24"/>
              </w:rPr>
            </w:pPr>
            <w:r>
              <w:rPr>
                <w:rFonts w:hint="eastAsia" w:ascii="仿宋" w:hAnsi="仿宋" w:eastAsia="仿宋" w:cs="宋体"/>
                <w:color w:val="252525" w:themeColor="text1" w:themeTint="D9"/>
                <w:kern w:val="0"/>
                <w:sz w:val="24"/>
                <w:szCs w:val="24"/>
              </w:rPr>
              <w:t xml:space="preserve">14733 </w:t>
            </w:r>
          </w:p>
        </w:tc>
        <w:tc>
          <w:tcPr>
            <w:tcW w:w="1276" w:type="dxa"/>
          </w:tcPr>
          <w:p>
            <w:pPr>
              <w:widowControl/>
              <w:spacing w:line="590" w:lineRule="exact"/>
              <w:jc w:val="center"/>
              <w:rPr>
                <w:rFonts w:ascii="仿宋" w:hAnsi="仿宋" w:eastAsia="仿宋" w:cs="宋体"/>
                <w:color w:val="252525" w:themeColor="text1" w:themeTint="D9"/>
                <w:kern w:val="0"/>
                <w:sz w:val="24"/>
                <w:szCs w:val="24"/>
              </w:rPr>
            </w:pPr>
            <w:r>
              <w:rPr>
                <w:rFonts w:hint="eastAsia" w:ascii="仿宋" w:hAnsi="仿宋" w:eastAsia="仿宋" w:cs="宋体"/>
                <w:color w:val="252525" w:themeColor="text1" w:themeTint="D9"/>
                <w:kern w:val="0"/>
                <w:sz w:val="24"/>
                <w:szCs w:val="24"/>
              </w:rPr>
              <w:t xml:space="preserve">1:2.7 </w:t>
            </w:r>
          </w:p>
        </w:tc>
      </w:tr>
    </w:tbl>
    <w:p>
      <w:pPr>
        <w:widowControl/>
        <w:spacing w:line="590" w:lineRule="exac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表1-1:2019-2020年登封市中等职业学校学生情况表</w:t>
      </w:r>
    </w:p>
    <w:p>
      <w:pPr>
        <w:widowControl/>
        <w:overflowPunct w:val="0"/>
        <w:adjustRightInd w:val="0"/>
        <w:snapToGrid w:val="0"/>
        <w:spacing w:line="590" w:lineRule="exact"/>
        <w:ind w:firstLine="630" w:firstLineChars="196"/>
        <w:rPr>
          <w:rFonts w:ascii="仿宋" w:hAnsi="仿宋" w:eastAsia="仿宋"/>
          <w:b/>
          <w:bCs/>
          <w:snapToGrid w:val="0"/>
          <w:kern w:val="0"/>
          <w:sz w:val="32"/>
          <w:szCs w:val="32"/>
        </w:rPr>
      </w:pPr>
      <w:r>
        <w:rPr>
          <w:rFonts w:hint="eastAsia" w:ascii="楷体" w:hAnsi="楷体" w:eastAsia="楷体"/>
          <w:b/>
          <w:bCs/>
          <w:snapToGrid w:val="0"/>
          <w:kern w:val="0"/>
          <w:sz w:val="32"/>
          <w:szCs w:val="32"/>
        </w:rPr>
        <w:t>1.2  设施设备</w:t>
      </w:r>
    </w:p>
    <w:p>
      <w:pPr>
        <w:widowControl/>
        <w:overflowPunct w:val="0"/>
        <w:adjustRightInd w:val="0"/>
        <w:snapToGrid w:val="0"/>
        <w:spacing w:line="590" w:lineRule="exact"/>
        <w:ind w:firstLine="640" w:firstLineChars="200"/>
        <w:rPr>
          <w:rFonts w:ascii="仿宋" w:hAnsi="仿宋" w:eastAsia="仿宋"/>
          <w:sz w:val="32"/>
          <w:szCs w:val="32"/>
        </w:rPr>
      </w:pPr>
      <w:r>
        <w:rPr>
          <w:rFonts w:hint="eastAsia" w:ascii="仿宋" w:hAnsi="仿宋" w:eastAsia="仿宋"/>
          <w:sz w:val="32"/>
          <w:szCs w:val="32"/>
        </w:rPr>
        <w:t>全市中等职业学校占地面积574759平方米，建筑面积352688平方米，固定资产总值20463.7万元，教学仪器设备价值约19424.3万元，纸质图书481730册，生均各项指标与2019年相比变化情况如下：</w:t>
      </w:r>
    </w:p>
    <w:p>
      <w:pPr>
        <w:widowControl/>
        <w:overflowPunct w:val="0"/>
        <w:adjustRightInd w:val="0"/>
        <w:snapToGrid w:val="0"/>
        <w:spacing w:line="590" w:lineRule="exact"/>
        <w:jc w:val="center"/>
        <w:rPr>
          <w:rFonts w:ascii="黑体" w:hAnsi="黑体" w:eastAsia="黑体"/>
          <w:b/>
          <w:bCs/>
          <w:sz w:val="32"/>
          <w:szCs w:val="32"/>
        </w:rPr>
      </w:pPr>
      <w:r>
        <w:rPr>
          <w:rFonts w:hint="eastAsia" w:ascii="黑体" w:hAnsi="黑体" w:eastAsia="黑体"/>
          <w:b/>
          <w:bCs/>
          <w:sz w:val="32"/>
          <w:szCs w:val="32"/>
        </w:rPr>
        <w:t>表1-2:2019-2020年登封市中等职业学校生均各项指标情况</w:t>
      </w:r>
    </w:p>
    <w:tbl>
      <w:tblPr>
        <w:tblStyle w:val="10"/>
        <w:tblW w:w="7797"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7"/>
        <w:gridCol w:w="992"/>
        <w:gridCol w:w="1417"/>
        <w:gridCol w:w="1701"/>
        <w:gridCol w:w="15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项目</w:t>
            </w:r>
          </w:p>
        </w:tc>
        <w:tc>
          <w:tcPr>
            <w:tcW w:w="992"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单位</w:t>
            </w:r>
          </w:p>
        </w:tc>
        <w:tc>
          <w:tcPr>
            <w:tcW w:w="1417"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2019年</w:t>
            </w:r>
          </w:p>
        </w:tc>
        <w:tc>
          <w:tcPr>
            <w:tcW w:w="1701"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2020年</w:t>
            </w:r>
          </w:p>
        </w:tc>
        <w:tc>
          <w:tcPr>
            <w:tcW w:w="1560"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在校生数</w:t>
            </w:r>
          </w:p>
        </w:tc>
        <w:tc>
          <w:tcPr>
            <w:tcW w:w="992"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人</w:t>
            </w:r>
          </w:p>
        </w:tc>
        <w:tc>
          <w:tcPr>
            <w:tcW w:w="1417"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25899</w:t>
            </w:r>
          </w:p>
        </w:tc>
        <w:tc>
          <w:tcPr>
            <w:tcW w:w="1701"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28786 </w:t>
            </w:r>
          </w:p>
        </w:tc>
        <w:tc>
          <w:tcPr>
            <w:tcW w:w="1560"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0.11%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生均占地面积</w:t>
            </w:r>
          </w:p>
        </w:tc>
        <w:tc>
          <w:tcPr>
            <w:tcW w:w="992"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w:t>
            </w:r>
          </w:p>
        </w:tc>
        <w:tc>
          <w:tcPr>
            <w:tcW w:w="1417"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25.91</w:t>
            </w:r>
          </w:p>
        </w:tc>
        <w:tc>
          <w:tcPr>
            <w:tcW w:w="1701"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24.61</w:t>
            </w:r>
          </w:p>
        </w:tc>
        <w:tc>
          <w:tcPr>
            <w:tcW w:w="1560"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生均建筑面积</w:t>
            </w:r>
          </w:p>
        </w:tc>
        <w:tc>
          <w:tcPr>
            <w:tcW w:w="992"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w:t>
            </w:r>
          </w:p>
        </w:tc>
        <w:tc>
          <w:tcPr>
            <w:tcW w:w="1417"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15.90</w:t>
            </w:r>
          </w:p>
        </w:tc>
        <w:tc>
          <w:tcPr>
            <w:tcW w:w="1701"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17.45</w:t>
            </w:r>
          </w:p>
        </w:tc>
        <w:tc>
          <w:tcPr>
            <w:tcW w:w="1560"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9.7 %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生均固定资产值</w:t>
            </w:r>
          </w:p>
        </w:tc>
        <w:tc>
          <w:tcPr>
            <w:tcW w:w="992"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万元</w:t>
            </w:r>
          </w:p>
        </w:tc>
        <w:tc>
          <w:tcPr>
            <w:tcW w:w="1417"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0.75</w:t>
            </w:r>
          </w:p>
        </w:tc>
        <w:tc>
          <w:tcPr>
            <w:tcW w:w="1701"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1.61</w:t>
            </w:r>
          </w:p>
        </w:tc>
        <w:tc>
          <w:tcPr>
            <w:tcW w:w="1560"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114.6%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生均仪器设备值</w:t>
            </w:r>
          </w:p>
        </w:tc>
        <w:tc>
          <w:tcPr>
            <w:tcW w:w="992"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万元</w:t>
            </w:r>
          </w:p>
        </w:tc>
        <w:tc>
          <w:tcPr>
            <w:tcW w:w="1417"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0.17</w:t>
            </w:r>
          </w:p>
        </w:tc>
        <w:tc>
          <w:tcPr>
            <w:tcW w:w="1701"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0.48 </w:t>
            </w:r>
          </w:p>
        </w:tc>
        <w:tc>
          <w:tcPr>
            <w:tcW w:w="1560"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7"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生均纸质图书</w:t>
            </w:r>
          </w:p>
        </w:tc>
        <w:tc>
          <w:tcPr>
            <w:tcW w:w="992" w:type="dxa"/>
          </w:tcPr>
          <w:p>
            <w:pPr>
              <w:spacing w:line="590" w:lineRule="exact"/>
              <w:jc w:val="center"/>
              <w:rPr>
                <w:rFonts w:ascii="仿宋" w:hAnsi="仿宋" w:eastAsia="仿宋"/>
                <w:color w:val="000000"/>
                <w:kern w:val="0"/>
                <w:sz w:val="24"/>
                <w:szCs w:val="24"/>
              </w:rPr>
            </w:pPr>
            <w:r>
              <w:rPr>
                <w:rFonts w:ascii="仿宋" w:hAnsi="仿宋" w:eastAsia="仿宋"/>
                <w:color w:val="000000"/>
                <w:kern w:val="0"/>
                <w:sz w:val="24"/>
                <w:szCs w:val="24"/>
              </w:rPr>
              <w:t>册</w:t>
            </w:r>
          </w:p>
        </w:tc>
        <w:tc>
          <w:tcPr>
            <w:tcW w:w="1417"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18.6</w:t>
            </w:r>
          </w:p>
        </w:tc>
        <w:tc>
          <w:tcPr>
            <w:tcW w:w="1701"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 16.65</w:t>
            </w:r>
          </w:p>
        </w:tc>
        <w:tc>
          <w:tcPr>
            <w:tcW w:w="1560" w:type="dxa"/>
          </w:tcPr>
          <w:p>
            <w:pPr>
              <w:spacing w:line="590" w:lineRule="exact"/>
              <w:jc w:val="center"/>
              <w:rPr>
                <w:rFonts w:ascii="仿宋" w:hAnsi="仿宋" w:eastAsia="仿宋"/>
                <w:color w:val="000000"/>
                <w:kern w:val="0"/>
                <w:sz w:val="24"/>
                <w:szCs w:val="24"/>
              </w:rPr>
            </w:pPr>
            <w:r>
              <w:rPr>
                <w:rFonts w:hint="eastAsia" w:ascii="仿宋" w:hAnsi="仿宋" w:eastAsia="仿宋"/>
                <w:color w:val="000000"/>
                <w:kern w:val="0"/>
                <w:sz w:val="24"/>
                <w:szCs w:val="24"/>
              </w:rPr>
              <w:t xml:space="preserve">-10.4% </w:t>
            </w:r>
          </w:p>
        </w:tc>
      </w:tr>
    </w:tbl>
    <w:p>
      <w:pPr>
        <w:spacing w:line="590" w:lineRule="exact"/>
        <w:ind w:firstLine="630" w:firstLineChars="196"/>
        <w:jc w:val="left"/>
        <w:rPr>
          <w:rFonts w:ascii="楷体" w:hAnsi="楷体" w:eastAsia="楷体" w:cs="仿宋_GB2312"/>
          <w:b/>
          <w:bCs/>
          <w:color w:val="000000"/>
          <w:kern w:val="36"/>
          <w:sz w:val="32"/>
          <w:szCs w:val="32"/>
        </w:rPr>
      </w:pPr>
      <w:r>
        <w:rPr>
          <w:rFonts w:hint="eastAsia" w:ascii="楷体" w:hAnsi="楷体" w:eastAsia="楷体"/>
          <w:b/>
          <w:bCs/>
          <w:color w:val="000000"/>
          <w:sz w:val="32"/>
          <w:szCs w:val="32"/>
        </w:rPr>
        <w:t xml:space="preserve">1.3  </w:t>
      </w:r>
      <w:r>
        <w:rPr>
          <w:rFonts w:hint="eastAsia" w:ascii="楷体" w:hAnsi="楷体" w:eastAsia="楷体" w:cs="仿宋_GB2312"/>
          <w:b/>
          <w:bCs/>
          <w:color w:val="000000"/>
          <w:kern w:val="36"/>
          <w:sz w:val="32"/>
          <w:szCs w:val="32"/>
        </w:rPr>
        <w:t>教师队伍</w:t>
      </w:r>
    </w:p>
    <w:p>
      <w:pPr>
        <w:widowControl/>
        <w:overflowPunct w:val="0"/>
        <w:adjustRightInd w:val="0"/>
        <w:snapToGrid w:val="0"/>
        <w:spacing w:line="590" w:lineRule="exact"/>
        <w:ind w:firstLine="640" w:firstLineChars="200"/>
        <w:rPr>
          <w:rFonts w:ascii="黑体" w:hAnsi="黑体" w:eastAsia="黑体" w:cs="宋体"/>
          <w:b/>
          <w:bCs/>
          <w:color w:val="000000"/>
          <w:kern w:val="0"/>
          <w:sz w:val="32"/>
          <w:szCs w:val="32"/>
        </w:rPr>
      </w:pPr>
      <w:r>
        <w:rPr>
          <w:rFonts w:hint="eastAsia" w:ascii="仿宋" w:hAnsi="仿宋" w:eastAsia="仿宋"/>
          <w:sz w:val="32"/>
          <w:szCs w:val="32"/>
        </w:rPr>
        <w:t>职业学校专任教师计1395人。其中：公办学校143人，民办学校1252人。生师比21:1，比上年增长0.05个百分点。双师型教师151人，占比10.82%，专任教师本科以上学历823人，占比58.9%，比上年降低5.5个百分点。专任教师高级职称教师217人，占比15.6%，比上年提高4.8个百分点。</w:t>
      </w:r>
    </w:p>
    <w:p>
      <w:pPr>
        <w:widowControl/>
        <w:shd w:val="clear" w:color="auto" w:fill="FFFFFF"/>
        <w:spacing w:line="590" w:lineRule="exact"/>
        <w:ind w:firstLine="643" w:firstLineChars="200"/>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表1-3:2019-2020年登封市中等职业学校教师情况表</w:t>
      </w:r>
    </w:p>
    <w:tbl>
      <w:tblPr>
        <w:tblStyle w:val="10"/>
        <w:tblW w:w="7371" w:type="dxa"/>
        <w:tblInd w:w="6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2257"/>
        <w:gridCol w:w="1287"/>
        <w:gridCol w:w="1275"/>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序号</w:t>
            </w:r>
          </w:p>
        </w:tc>
        <w:tc>
          <w:tcPr>
            <w:tcW w:w="2257"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项目</w:t>
            </w:r>
          </w:p>
        </w:tc>
        <w:tc>
          <w:tcPr>
            <w:tcW w:w="1287"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2019年</w:t>
            </w:r>
          </w:p>
        </w:tc>
        <w:tc>
          <w:tcPr>
            <w:tcW w:w="1275"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2020年</w:t>
            </w:r>
          </w:p>
        </w:tc>
        <w:tc>
          <w:tcPr>
            <w:tcW w:w="1418"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增长率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w:t>
            </w:r>
          </w:p>
        </w:tc>
        <w:tc>
          <w:tcPr>
            <w:tcW w:w="2257"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教职工总数（人）</w:t>
            </w:r>
          </w:p>
        </w:tc>
        <w:tc>
          <w:tcPr>
            <w:tcW w:w="1287"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1617</w:t>
            </w:r>
          </w:p>
        </w:tc>
        <w:tc>
          <w:tcPr>
            <w:tcW w:w="1275"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1686</w:t>
            </w:r>
          </w:p>
        </w:tc>
        <w:tc>
          <w:tcPr>
            <w:tcW w:w="1418"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w:t>
            </w:r>
          </w:p>
        </w:tc>
        <w:tc>
          <w:tcPr>
            <w:tcW w:w="2257"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生师比</w:t>
            </w:r>
          </w:p>
        </w:tc>
        <w:tc>
          <w:tcPr>
            <w:tcW w:w="1287"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23:1</w:t>
            </w:r>
          </w:p>
        </w:tc>
        <w:tc>
          <w:tcPr>
            <w:tcW w:w="1275" w:type="dxa"/>
          </w:tcPr>
          <w:p>
            <w:pPr>
              <w:widowControl/>
              <w:spacing w:line="590" w:lineRule="exact"/>
              <w:ind w:firstLine="240" w:firstLineChars="100"/>
              <w:rPr>
                <w:rFonts w:ascii="仿宋" w:hAnsi="仿宋" w:eastAsia="仿宋" w:cs="宋体"/>
                <w:color w:val="000000"/>
                <w:kern w:val="0"/>
                <w:sz w:val="24"/>
                <w:szCs w:val="24"/>
              </w:rPr>
            </w:pPr>
            <w:r>
              <w:rPr>
                <w:rFonts w:hint="eastAsia" w:ascii="仿宋" w:hAnsi="仿宋" w:eastAsia="仿宋" w:cs="宋体"/>
                <w:color w:val="000000"/>
                <w:kern w:val="0"/>
                <w:sz w:val="24"/>
                <w:szCs w:val="24"/>
              </w:rPr>
              <w:t>21:1</w:t>
            </w:r>
          </w:p>
        </w:tc>
        <w:tc>
          <w:tcPr>
            <w:tcW w:w="1418"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0.05%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34"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3</w:t>
            </w:r>
          </w:p>
        </w:tc>
        <w:tc>
          <w:tcPr>
            <w:tcW w:w="2257"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专任教师数（人）</w:t>
            </w:r>
          </w:p>
        </w:tc>
        <w:tc>
          <w:tcPr>
            <w:tcW w:w="1287"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1127</w:t>
            </w:r>
          </w:p>
        </w:tc>
        <w:tc>
          <w:tcPr>
            <w:tcW w:w="1275"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1395</w:t>
            </w:r>
          </w:p>
        </w:tc>
        <w:tc>
          <w:tcPr>
            <w:tcW w:w="1418" w:type="dxa"/>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23.78%</w:t>
            </w:r>
          </w:p>
        </w:tc>
      </w:tr>
    </w:tbl>
    <w:p>
      <w:pPr>
        <w:widowControl/>
        <w:shd w:val="clear" w:color="auto" w:fill="FFFFFF"/>
        <w:spacing w:line="590" w:lineRule="exact"/>
        <w:jc w:val="center"/>
        <w:rPr>
          <w:rFonts w:ascii="黑体" w:hAnsi="黑体" w:eastAsia="黑体" w:cs="宋体"/>
          <w:b/>
          <w:bCs/>
          <w:color w:val="000000"/>
          <w:kern w:val="0"/>
          <w:sz w:val="32"/>
          <w:szCs w:val="32"/>
        </w:rPr>
      </w:pPr>
    </w:p>
    <w:p>
      <w:pPr>
        <w:widowControl/>
        <w:shd w:val="clear" w:color="auto" w:fill="FFFFFF"/>
        <w:spacing w:line="590" w:lineRule="exact"/>
        <w:jc w:val="center"/>
        <w:rPr>
          <w:rFonts w:ascii="黑体" w:hAnsi="黑体" w:eastAsia="黑体" w:cs="宋体"/>
          <w:b/>
          <w:bCs/>
          <w:color w:val="000000"/>
          <w:kern w:val="0"/>
          <w:sz w:val="32"/>
          <w:szCs w:val="32"/>
        </w:rPr>
      </w:pPr>
      <w:r>
        <w:rPr>
          <w:rFonts w:hint="eastAsia" w:ascii="黑体" w:hAnsi="黑体" w:eastAsia="黑体" w:cs="宋体"/>
          <w:b/>
          <w:bCs/>
          <w:color w:val="000000"/>
          <w:kern w:val="0"/>
          <w:sz w:val="32"/>
          <w:szCs w:val="32"/>
        </w:rPr>
        <w:t>表1-4:2019-2020年登封市中等职业学校专任教师结构</w:t>
      </w:r>
    </w:p>
    <w:tbl>
      <w:tblPr>
        <w:tblStyle w:val="9"/>
        <w:tblpPr w:leftFromText="180" w:rightFromText="180" w:vertAnchor="text" w:horzAnchor="margin" w:tblpXSpec="center" w:tblpY="309"/>
        <w:tblOverlap w:val="never"/>
        <w:tblW w:w="793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690"/>
        <w:gridCol w:w="585"/>
        <w:gridCol w:w="851"/>
        <w:gridCol w:w="567"/>
        <w:gridCol w:w="850"/>
        <w:gridCol w:w="567"/>
        <w:gridCol w:w="851"/>
        <w:gridCol w:w="567"/>
        <w:gridCol w:w="709"/>
        <w:gridCol w:w="7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6" w:hRule="atLeast"/>
        </w:trPr>
        <w:tc>
          <w:tcPr>
            <w:tcW w:w="993" w:type="dxa"/>
            <w:vMerge w:val="restart"/>
            <w:shd w:val="clear" w:color="auto" w:fill="auto"/>
            <w:vAlign w:val="center"/>
          </w:tcPr>
          <w:p>
            <w:pPr>
              <w:widowControl/>
              <w:spacing w:line="590" w:lineRule="exact"/>
              <w:ind w:firstLine="120" w:firstLineChars="50"/>
              <w:jc w:val="left"/>
              <w:rPr>
                <w:rFonts w:ascii="仿宋" w:hAnsi="仿宋" w:eastAsia="仿宋" w:cs="宋体"/>
                <w:color w:val="000000"/>
                <w:kern w:val="0"/>
                <w:sz w:val="24"/>
                <w:szCs w:val="24"/>
              </w:rPr>
            </w:pPr>
            <w:r>
              <w:rPr>
                <w:rFonts w:hint="eastAsia" w:ascii="仿宋" w:hAnsi="仿宋" w:eastAsia="仿宋" w:cs="宋体"/>
                <w:color w:val="000000"/>
                <w:kern w:val="0"/>
                <w:sz w:val="24"/>
                <w:szCs w:val="24"/>
              </w:rPr>
              <w:t>年度</w:t>
            </w:r>
          </w:p>
        </w:tc>
        <w:tc>
          <w:tcPr>
            <w:tcW w:w="4961" w:type="dxa"/>
            <w:gridSpan w:val="7"/>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专任教师</w:t>
            </w:r>
          </w:p>
        </w:tc>
        <w:tc>
          <w:tcPr>
            <w:tcW w:w="1276" w:type="dxa"/>
            <w:gridSpan w:val="2"/>
            <w:vMerge w:val="restart"/>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兼职教师比%</w:t>
            </w:r>
          </w:p>
        </w:tc>
        <w:tc>
          <w:tcPr>
            <w:tcW w:w="708" w:type="dxa"/>
            <w:vMerge w:val="restart"/>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生</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师</w:t>
            </w:r>
          </w:p>
          <w:p>
            <w:pPr>
              <w:widowControl/>
              <w:spacing w:line="590" w:lineRule="exact"/>
              <w:jc w:val="center"/>
              <w:rPr>
                <w:rFonts w:ascii="仿宋" w:hAnsi="仿宋" w:eastAsia="仿宋" w:cs="宋体"/>
                <w:color w:val="000000"/>
                <w:kern w:val="0"/>
                <w:sz w:val="28"/>
                <w:szCs w:val="28"/>
              </w:rPr>
            </w:pPr>
            <w:r>
              <w:rPr>
                <w:rFonts w:hint="eastAsia" w:ascii="仿宋" w:hAnsi="仿宋" w:eastAsia="仿宋" w:cs="宋体"/>
                <w:color w:val="000000"/>
                <w:kern w:val="0"/>
                <w:sz w:val="24"/>
                <w:szCs w:val="24"/>
              </w:rPr>
              <w:t>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5" w:hRule="atLeast"/>
        </w:trPr>
        <w:tc>
          <w:tcPr>
            <w:tcW w:w="993" w:type="dxa"/>
            <w:vMerge w:val="continue"/>
            <w:vAlign w:val="center"/>
          </w:tcPr>
          <w:p>
            <w:pPr>
              <w:widowControl/>
              <w:spacing w:line="590" w:lineRule="exact"/>
              <w:jc w:val="left"/>
              <w:rPr>
                <w:rFonts w:ascii="仿宋" w:hAnsi="仿宋" w:eastAsia="仿宋" w:cs="宋体"/>
                <w:color w:val="000000"/>
                <w:kern w:val="0"/>
                <w:sz w:val="28"/>
                <w:szCs w:val="28"/>
              </w:rPr>
            </w:pPr>
          </w:p>
        </w:tc>
        <w:tc>
          <w:tcPr>
            <w:tcW w:w="690" w:type="dxa"/>
            <w:vMerge w:val="restart"/>
            <w:shd w:val="clear" w:color="auto" w:fill="auto"/>
            <w:vAlign w:val="center"/>
          </w:tcPr>
          <w:p>
            <w:pPr>
              <w:widowControl/>
              <w:spacing w:line="590" w:lineRule="exact"/>
              <w:jc w:val="left"/>
              <w:rPr>
                <w:rFonts w:ascii="仿宋" w:hAnsi="仿宋" w:eastAsia="仿宋" w:cs="宋体"/>
                <w:color w:val="000000"/>
                <w:kern w:val="0"/>
                <w:sz w:val="28"/>
                <w:szCs w:val="28"/>
              </w:rPr>
            </w:pPr>
            <w:r>
              <w:rPr>
                <w:rFonts w:hint="eastAsia" w:ascii="仿宋" w:hAnsi="仿宋" w:eastAsia="仿宋" w:cs="宋体"/>
                <w:color w:val="000000"/>
                <w:kern w:val="0"/>
                <w:sz w:val="28"/>
                <w:szCs w:val="28"/>
              </w:rPr>
              <w:t>总数</w:t>
            </w:r>
          </w:p>
        </w:tc>
        <w:tc>
          <w:tcPr>
            <w:tcW w:w="1436" w:type="dxa"/>
            <w:gridSpan w:val="2"/>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本科教</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师比%</w:t>
            </w:r>
          </w:p>
        </w:tc>
        <w:tc>
          <w:tcPr>
            <w:tcW w:w="1417" w:type="dxa"/>
            <w:gridSpan w:val="2"/>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高级职称</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教师比%</w:t>
            </w:r>
          </w:p>
        </w:tc>
        <w:tc>
          <w:tcPr>
            <w:tcW w:w="1418" w:type="dxa"/>
            <w:gridSpan w:val="2"/>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“双师型”</w:t>
            </w:r>
            <w:r>
              <w:rPr>
                <w:rFonts w:hint="eastAsia" w:ascii="仿宋" w:hAnsi="仿宋" w:eastAsia="仿宋" w:cs="宋体"/>
                <w:color w:val="000000"/>
                <w:kern w:val="0"/>
                <w:sz w:val="24"/>
                <w:szCs w:val="24"/>
              </w:rPr>
              <w:br w:type="textWrapping"/>
            </w:r>
            <w:r>
              <w:rPr>
                <w:rFonts w:hint="eastAsia" w:ascii="仿宋" w:hAnsi="仿宋" w:eastAsia="仿宋" w:cs="宋体"/>
                <w:color w:val="000000"/>
                <w:kern w:val="0"/>
                <w:sz w:val="24"/>
                <w:szCs w:val="24"/>
              </w:rPr>
              <w:t>教师比%</w:t>
            </w:r>
          </w:p>
        </w:tc>
        <w:tc>
          <w:tcPr>
            <w:tcW w:w="1276" w:type="dxa"/>
            <w:gridSpan w:val="2"/>
            <w:vMerge w:val="continue"/>
            <w:vAlign w:val="center"/>
          </w:tcPr>
          <w:p>
            <w:pPr>
              <w:widowControl/>
              <w:spacing w:line="590" w:lineRule="exact"/>
              <w:jc w:val="center"/>
              <w:rPr>
                <w:rFonts w:ascii="仿宋" w:hAnsi="仿宋" w:eastAsia="仿宋" w:cs="宋体"/>
                <w:color w:val="000000"/>
                <w:kern w:val="0"/>
                <w:sz w:val="24"/>
                <w:szCs w:val="24"/>
              </w:rPr>
            </w:pPr>
          </w:p>
        </w:tc>
        <w:tc>
          <w:tcPr>
            <w:tcW w:w="708" w:type="dxa"/>
            <w:vMerge w:val="continue"/>
            <w:vAlign w:val="center"/>
          </w:tcPr>
          <w:p>
            <w:pPr>
              <w:widowControl/>
              <w:spacing w:line="590" w:lineRule="exact"/>
              <w:jc w:val="center"/>
              <w:rPr>
                <w:rFonts w:ascii="仿宋" w:hAnsi="仿宋" w:eastAsia="仿宋" w:cs="宋体"/>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993" w:type="dxa"/>
            <w:vMerge w:val="continue"/>
            <w:vAlign w:val="center"/>
          </w:tcPr>
          <w:p>
            <w:pPr>
              <w:widowControl/>
              <w:spacing w:line="590" w:lineRule="exact"/>
              <w:jc w:val="left"/>
              <w:rPr>
                <w:rFonts w:ascii="仿宋" w:hAnsi="仿宋" w:eastAsia="仿宋" w:cs="宋体"/>
                <w:color w:val="000000"/>
                <w:kern w:val="0"/>
                <w:sz w:val="32"/>
                <w:szCs w:val="32"/>
              </w:rPr>
            </w:pPr>
          </w:p>
        </w:tc>
        <w:tc>
          <w:tcPr>
            <w:tcW w:w="690" w:type="dxa"/>
            <w:vMerge w:val="continue"/>
            <w:vAlign w:val="center"/>
          </w:tcPr>
          <w:p>
            <w:pPr>
              <w:widowControl/>
              <w:spacing w:line="590" w:lineRule="exact"/>
              <w:jc w:val="left"/>
              <w:rPr>
                <w:rFonts w:ascii="仿宋" w:hAnsi="仿宋" w:eastAsia="仿宋" w:cs="宋体"/>
                <w:color w:val="000000"/>
                <w:kern w:val="0"/>
                <w:sz w:val="32"/>
                <w:szCs w:val="32"/>
              </w:rPr>
            </w:pPr>
          </w:p>
        </w:tc>
        <w:tc>
          <w:tcPr>
            <w:tcW w:w="585"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w:t>
            </w:r>
          </w:p>
        </w:tc>
        <w:tc>
          <w:tcPr>
            <w:tcW w:w="851"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占</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w:t>
            </w:r>
          </w:p>
        </w:tc>
        <w:tc>
          <w:tcPr>
            <w:tcW w:w="567"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人数</w:t>
            </w:r>
          </w:p>
        </w:tc>
        <w:tc>
          <w:tcPr>
            <w:tcW w:w="850"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占</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w:t>
            </w:r>
          </w:p>
        </w:tc>
        <w:tc>
          <w:tcPr>
            <w:tcW w:w="567"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数</w:t>
            </w:r>
          </w:p>
        </w:tc>
        <w:tc>
          <w:tcPr>
            <w:tcW w:w="851"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占</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w:t>
            </w:r>
          </w:p>
        </w:tc>
        <w:tc>
          <w:tcPr>
            <w:tcW w:w="567"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人数</w:t>
            </w:r>
          </w:p>
        </w:tc>
        <w:tc>
          <w:tcPr>
            <w:tcW w:w="709"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占</w:t>
            </w:r>
          </w:p>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比</w:t>
            </w:r>
          </w:p>
        </w:tc>
        <w:tc>
          <w:tcPr>
            <w:tcW w:w="708" w:type="dxa"/>
            <w:vMerge w:val="continue"/>
            <w:vAlign w:val="center"/>
          </w:tcPr>
          <w:p>
            <w:pPr>
              <w:widowControl/>
              <w:spacing w:line="590" w:lineRule="exact"/>
              <w:jc w:val="center"/>
              <w:rPr>
                <w:rFonts w:ascii="仿宋" w:hAnsi="仿宋" w:eastAsia="仿宋" w:cs="宋体"/>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3" w:hRule="atLeast"/>
        </w:trPr>
        <w:tc>
          <w:tcPr>
            <w:tcW w:w="993"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2019</w:t>
            </w:r>
          </w:p>
        </w:tc>
        <w:tc>
          <w:tcPr>
            <w:tcW w:w="690" w:type="dxa"/>
            <w:shd w:val="clear" w:color="auto" w:fill="auto"/>
            <w:vAlign w:val="center"/>
          </w:tcPr>
          <w:p>
            <w:pPr>
              <w:widowControl/>
              <w:spacing w:line="590" w:lineRule="exact"/>
              <w:ind w:right="15"/>
              <w:jc w:val="right"/>
              <w:rPr>
                <w:rFonts w:ascii="仿宋" w:hAnsi="仿宋" w:eastAsia="仿宋" w:cs="宋体"/>
                <w:color w:val="000000"/>
                <w:kern w:val="0"/>
                <w:szCs w:val="21"/>
              </w:rPr>
            </w:pPr>
            <w:r>
              <w:rPr>
                <w:rFonts w:hint="eastAsia" w:ascii="仿宋" w:hAnsi="仿宋" w:eastAsia="仿宋" w:cs="宋体"/>
                <w:color w:val="000000"/>
                <w:kern w:val="0"/>
                <w:szCs w:val="21"/>
              </w:rPr>
              <w:t>1127</w:t>
            </w:r>
          </w:p>
        </w:tc>
        <w:tc>
          <w:tcPr>
            <w:tcW w:w="585"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726</w:t>
            </w:r>
          </w:p>
        </w:tc>
        <w:tc>
          <w:tcPr>
            <w:tcW w:w="851"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64.4</w:t>
            </w:r>
          </w:p>
        </w:tc>
        <w:tc>
          <w:tcPr>
            <w:tcW w:w="567"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121</w:t>
            </w:r>
          </w:p>
        </w:tc>
        <w:tc>
          <w:tcPr>
            <w:tcW w:w="850"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10.8</w:t>
            </w:r>
          </w:p>
        </w:tc>
        <w:tc>
          <w:tcPr>
            <w:tcW w:w="567"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431</w:t>
            </w:r>
          </w:p>
        </w:tc>
        <w:tc>
          <w:tcPr>
            <w:tcW w:w="851"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38.2</w:t>
            </w:r>
          </w:p>
        </w:tc>
        <w:tc>
          <w:tcPr>
            <w:tcW w:w="567"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38</w:t>
            </w:r>
          </w:p>
        </w:tc>
        <w:tc>
          <w:tcPr>
            <w:tcW w:w="709"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3.3</w:t>
            </w:r>
          </w:p>
        </w:tc>
        <w:tc>
          <w:tcPr>
            <w:tcW w:w="708"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23:1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3" w:hRule="atLeast"/>
        </w:trPr>
        <w:tc>
          <w:tcPr>
            <w:tcW w:w="993" w:type="dxa"/>
            <w:shd w:val="clear" w:color="auto" w:fill="auto"/>
            <w:vAlign w:val="center"/>
          </w:tcPr>
          <w:p>
            <w:pPr>
              <w:widowControl/>
              <w:spacing w:line="590" w:lineRule="exact"/>
              <w:jc w:val="center"/>
              <w:rPr>
                <w:rFonts w:ascii="仿宋" w:hAnsi="仿宋" w:eastAsia="仿宋" w:cs="宋体"/>
                <w:color w:val="000000"/>
                <w:kern w:val="0"/>
                <w:sz w:val="24"/>
                <w:szCs w:val="24"/>
              </w:rPr>
            </w:pPr>
            <w:r>
              <w:rPr>
                <w:rFonts w:hint="eastAsia" w:ascii="仿宋" w:hAnsi="仿宋" w:eastAsia="仿宋" w:cs="宋体"/>
                <w:color w:val="000000"/>
                <w:kern w:val="0"/>
                <w:sz w:val="24"/>
                <w:szCs w:val="24"/>
              </w:rPr>
              <w:t>2020</w:t>
            </w:r>
          </w:p>
        </w:tc>
        <w:tc>
          <w:tcPr>
            <w:tcW w:w="690"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1395</w:t>
            </w:r>
          </w:p>
        </w:tc>
        <w:tc>
          <w:tcPr>
            <w:tcW w:w="585"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823 </w:t>
            </w:r>
          </w:p>
        </w:tc>
        <w:tc>
          <w:tcPr>
            <w:tcW w:w="851"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58.9%</w:t>
            </w:r>
          </w:p>
        </w:tc>
        <w:tc>
          <w:tcPr>
            <w:tcW w:w="567"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217</w:t>
            </w:r>
          </w:p>
        </w:tc>
        <w:tc>
          <w:tcPr>
            <w:tcW w:w="850" w:type="dxa"/>
            <w:shd w:val="clear" w:color="auto" w:fill="auto"/>
            <w:vAlign w:val="center"/>
          </w:tcPr>
          <w:p>
            <w:pPr>
              <w:widowControl/>
              <w:spacing w:line="590" w:lineRule="exact"/>
              <w:ind w:right="105"/>
              <w:jc w:val="right"/>
              <w:rPr>
                <w:rFonts w:ascii="仿宋" w:hAnsi="仿宋" w:eastAsia="仿宋" w:cs="宋体"/>
                <w:color w:val="000000"/>
                <w:kern w:val="0"/>
                <w:szCs w:val="21"/>
              </w:rPr>
            </w:pPr>
            <w:r>
              <w:rPr>
                <w:rFonts w:hint="eastAsia" w:ascii="仿宋" w:hAnsi="仿宋" w:eastAsia="仿宋" w:cs="宋体"/>
                <w:color w:val="000000"/>
                <w:kern w:val="0"/>
                <w:szCs w:val="21"/>
              </w:rPr>
              <w:t>15.6%</w:t>
            </w:r>
          </w:p>
        </w:tc>
        <w:tc>
          <w:tcPr>
            <w:tcW w:w="567"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151</w:t>
            </w:r>
          </w:p>
        </w:tc>
        <w:tc>
          <w:tcPr>
            <w:tcW w:w="851"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 10.8%</w:t>
            </w:r>
          </w:p>
        </w:tc>
        <w:tc>
          <w:tcPr>
            <w:tcW w:w="567"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43 </w:t>
            </w:r>
          </w:p>
        </w:tc>
        <w:tc>
          <w:tcPr>
            <w:tcW w:w="709"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3.1% </w:t>
            </w:r>
          </w:p>
        </w:tc>
        <w:tc>
          <w:tcPr>
            <w:tcW w:w="708" w:type="dxa"/>
            <w:shd w:val="clear" w:color="auto" w:fill="auto"/>
            <w:vAlign w:val="center"/>
          </w:tcPr>
          <w:p>
            <w:pPr>
              <w:widowControl/>
              <w:spacing w:line="590" w:lineRule="exact"/>
              <w:jc w:val="right"/>
              <w:rPr>
                <w:rFonts w:ascii="仿宋" w:hAnsi="仿宋" w:eastAsia="仿宋" w:cs="宋体"/>
                <w:color w:val="000000"/>
                <w:kern w:val="0"/>
                <w:szCs w:val="21"/>
              </w:rPr>
            </w:pPr>
            <w:r>
              <w:rPr>
                <w:rFonts w:hint="eastAsia" w:ascii="仿宋" w:hAnsi="仿宋" w:eastAsia="仿宋" w:cs="宋体"/>
                <w:color w:val="000000"/>
                <w:kern w:val="0"/>
                <w:szCs w:val="21"/>
              </w:rPr>
              <w:t xml:space="preserve">21:1 </w:t>
            </w:r>
          </w:p>
        </w:tc>
      </w:tr>
    </w:tbl>
    <w:p>
      <w:pPr>
        <w:widowControl/>
        <w:shd w:val="clear" w:color="auto" w:fill="FFFFFF"/>
        <w:spacing w:line="590" w:lineRule="exact"/>
        <w:jc w:val="center"/>
        <w:rPr>
          <w:rFonts w:ascii="黑体" w:hAnsi="黑体" w:eastAsia="黑体" w:cs="宋体"/>
          <w:b/>
          <w:color w:val="000000"/>
          <w:kern w:val="0"/>
          <w:sz w:val="32"/>
          <w:szCs w:val="32"/>
        </w:rPr>
      </w:pPr>
      <w:r>
        <w:rPr>
          <w:rFonts w:hint="eastAsia" w:ascii="黑体" w:hAnsi="黑体" w:eastAsia="黑体" w:cs="楷体"/>
          <w:b/>
          <w:color w:val="000000"/>
          <w:kern w:val="0"/>
          <w:sz w:val="32"/>
          <w:szCs w:val="32"/>
        </w:rPr>
        <w:t>第二部分  学生发展</w:t>
      </w:r>
    </w:p>
    <w:p>
      <w:pPr>
        <w:widowControl/>
        <w:spacing w:line="590" w:lineRule="exact"/>
        <w:ind w:firstLine="643" w:firstLineChars="200"/>
        <w:rPr>
          <w:rFonts w:ascii="仿宋" w:hAnsi="仿宋" w:eastAsia="仿宋" w:cs="仿宋"/>
          <w:b/>
          <w:bCs/>
          <w:color w:val="000000"/>
          <w:kern w:val="0"/>
          <w:sz w:val="32"/>
          <w:szCs w:val="32"/>
        </w:rPr>
      </w:pPr>
      <w:r>
        <w:rPr>
          <w:rFonts w:hint="eastAsia" w:ascii="楷体" w:hAnsi="楷体" w:eastAsia="楷体" w:cs="仿宋"/>
          <w:b/>
          <w:bCs/>
          <w:color w:val="000000"/>
          <w:kern w:val="0"/>
          <w:sz w:val="32"/>
          <w:szCs w:val="32"/>
        </w:rPr>
        <w:t>2.1  学生素质</w:t>
      </w:r>
    </w:p>
    <w:p>
      <w:pPr>
        <w:widowControl/>
        <w:overflowPunct w:val="0"/>
        <w:adjustRightInd w:val="0"/>
        <w:snapToGrid w:val="0"/>
        <w:spacing w:line="590" w:lineRule="exact"/>
        <w:ind w:firstLine="640" w:firstLineChars="200"/>
        <w:rPr>
          <w:rFonts w:hint="eastAsia" w:ascii="仿宋" w:hAnsi="仿宋" w:eastAsia="仿宋"/>
          <w:sz w:val="32"/>
          <w:szCs w:val="32"/>
        </w:rPr>
      </w:pPr>
      <w:r>
        <w:rPr>
          <w:rFonts w:hint="eastAsia" w:ascii="仿宋" w:hAnsi="仿宋" w:eastAsia="仿宋"/>
          <w:sz w:val="32"/>
          <w:szCs w:val="32"/>
        </w:rPr>
        <w:t>2020年登封市中等职业学校学生文化课合格率为94.5%，与2019年相比降低0.8个百分点，其中一次性合格率为53.7%；专业技能合格率为94.3%，与2019年相比提高2.8个百分点，其中一次性合格率为90.1%；体质测评合格率为98%，与2019年相当；2020年职业学校毕业生毕业率为95%，与2019年相比降低3个百分点。在提升学生核心素养方面，我们主要做了以下几项工作：</w:t>
      </w:r>
    </w:p>
    <w:p>
      <w:pPr>
        <w:spacing w:line="590" w:lineRule="exact"/>
        <w:ind w:firstLine="643" w:firstLineChars="200"/>
        <w:rPr>
          <w:rFonts w:ascii="仿宋" w:hAnsi="仿宋" w:eastAsia="仿宋" w:cs="仿宋"/>
          <w:bCs/>
          <w:color w:val="FF0000"/>
          <w:kern w:val="0"/>
          <w:sz w:val="32"/>
          <w:szCs w:val="32"/>
        </w:rPr>
      </w:pPr>
      <w:r>
        <w:rPr>
          <w:rFonts w:hint="eastAsia" w:ascii="仿宋" w:hAnsi="仿宋" w:eastAsia="仿宋" w:cs="仿宋"/>
          <w:b/>
          <w:bCs/>
          <w:sz w:val="32"/>
          <w:szCs w:val="32"/>
        </w:rPr>
        <w:t>一是突出立德树人。</w:t>
      </w:r>
      <w:r>
        <w:rPr>
          <w:rFonts w:hint="eastAsia" w:ascii="仿宋" w:hAnsi="仿宋" w:eastAsia="仿宋"/>
          <w:sz w:val="32"/>
          <w:szCs w:val="32"/>
        </w:rPr>
        <w:t>学校根据中职学生学业特点和身心发展规律，把培育和践行社会主义核心价值观融入教育教学全过程，按照国家中小学德育工作规程，认真落实教育部关于加强和改进新时代中职学校德育工作的实施意见，帮助学生树立正确的世界观、人生观和价值观。在教育教学管理中重视提高学生人文素养，从行为习惯培养着手，以德促智，以智养德。广泛开展“文明风采”活动、法制教育宣传活动、社会公益活动和丰富多彩的校园文化和主题教育活动，促进学生全面发展和健康成长。</w:t>
      </w:r>
    </w:p>
    <w:p>
      <w:pPr>
        <w:spacing w:line="590" w:lineRule="exact"/>
        <w:ind w:firstLine="643" w:firstLineChars="200"/>
        <w:rPr>
          <w:rFonts w:ascii="楷体" w:hAnsi="楷体" w:eastAsia="楷体"/>
          <w:sz w:val="32"/>
          <w:szCs w:val="32"/>
        </w:rPr>
      </w:pPr>
      <w:r>
        <w:rPr>
          <w:rFonts w:hint="eastAsia" w:ascii="仿宋" w:hAnsi="仿宋" w:eastAsia="仿宋" w:cs="仿宋"/>
          <w:b/>
          <w:bCs/>
          <w:sz w:val="32"/>
          <w:szCs w:val="32"/>
        </w:rPr>
        <w:t>二是培养专业技能。</w:t>
      </w:r>
      <w:r>
        <w:rPr>
          <w:rFonts w:hint="eastAsia" w:ascii="仿宋" w:hAnsi="仿宋" w:eastAsia="仿宋"/>
          <w:sz w:val="32"/>
          <w:szCs w:val="32"/>
        </w:rPr>
        <w:t>学校认真按照国家规定的课程计划开设公共基础课和专业课，不断强化专业课教学质量，认真开展专业技能训练工作，提升学生技能水平。2020年</w:t>
      </w:r>
      <w:r>
        <w:rPr>
          <w:rFonts w:hint="eastAsia" w:ascii="仿宋" w:hAnsi="仿宋" w:eastAsia="仿宋" w:cs="仿宋"/>
          <w:bCs/>
          <w:color w:val="000000"/>
          <w:kern w:val="0"/>
          <w:sz w:val="32"/>
          <w:szCs w:val="32"/>
        </w:rPr>
        <w:t>11月9日至15日开展职业教育活动周，此次活动内容主要包括：设置成果展版面、悬挂横幅等多形式宣传，营造良好舆论氛围，烘托活动周气氛；开展职业成人教育特色活动，彰显办学特色；挖掘学生成才案例，形成书面材料；搜集整理典型宣传报道案例和视频材料。活动周期间“天天有活动、处处有看点、人人有收获”，达到展成就、扩影响、促发展的目的</w:t>
      </w:r>
      <w:r>
        <w:rPr>
          <w:rFonts w:hint="eastAsia" w:ascii="仿宋" w:hAnsi="仿宋" w:eastAsia="仿宋" w:cs="仿宋"/>
          <w:b/>
          <w:bCs/>
          <w:color w:val="000000"/>
          <w:kern w:val="0"/>
          <w:sz w:val="32"/>
          <w:szCs w:val="32"/>
        </w:rPr>
        <w:t>。</w:t>
      </w:r>
    </w:p>
    <w:p>
      <w:pPr>
        <w:widowControl/>
        <w:spacing w:line="590" w:lineRule="exact"/>
        <w:ind w:firstLine="643" w:firstLineChars="200"/>
        <w:rPr>
          <w:rFonts w:ascii="楷体" w:hAnsi="楷体" w:eastAsia="楷体"/>
          <w:sz w:val="32"/>
          <w:szCs w:val="32"/>
        </w:rPr>
      </w:pPr>
      <w:r>
        <w:rPr>
          <w:rFonts w:hint="eastAsia" w:ascii="仿宋" w:hAnsi="仿宋" w:eastAsia="仿宋" w:cs="仿宋"/>
          <w:b/>
          <w:bCs/>
          <w:sz w:val="32"/>
          <w:szCs w:val="32"/>
        </w:rPr>
        <w:t>三是重视核心素养。</w:t>
      </w:r>
      <w:r>
        <w:rPr>
          <w:rFonts w:hint="eastAsia" w:ascii="仿宋" w:hAnsi="仿宋" w:eastAsia="仿宋"/>
          <w:sz w:val="32"/>
          <w:szCs w:val="32"/>
        </w:rPr>
        <w:t>学校始终坚持育人为本，并根据实际情况分别从学习能力、岗位适应能力、岗位迁移能力</w:t>
      </w:r>
      <w:r>
        <w:rPr>
          <w:rFonts w:hint="eastAsia" w:ascii="仿宋" w:hAnsi="仿宋" w:eastAsia="仿宋"/>
          <w:b/>
          <w:sz w:val="32"/>
          <w:szCs w:val="32"/>
        </w:rPr>
        <w:t>、</w:t>
      </w:r>
      <w:r>
        <w:rPr>
          <w:rFonts w:hint="eastAsia" w:ascii="仿宋" w:hAnsi="仿宋" w:eastAsia="仿宋"/>
          <w:sz w:val="32"/>
          <w:szCs w:val="32"/>
        </w:rPr>
        <w:t>就业创业能力等方面培养学生核心素养，取得明显成效。登封市中等专业学校充分利用早训和专业部会议，对学生进行学习方法指导，深入开展读书活动，提升了学生阅读能力，定期举行班级学习方法交流会，提升自己学习能力。登封少林弘武中等专业学校、少林小龙武术中等专业学校在突出武术教学的基础上积极探索培养学生的爱好特长，提升学生综合素质，培养学生的岗位适应能力和岗位迁移能力。登封少林中等专业学校、登封市少林鹅坡武术中等专业学校通过开展职业生涯规划、选修课活动，认真开展就业、创业指导，组织学生开展创业项目计划创意比赛活动，提升学生创新创业能力。</w:t>
      </w:r>
    </w:p>
    <w:p>
      <w:pPr>
        <w:widowControl/>
        <w:spacing w:line="590" w:lineRule="exact"/>
        <w:ind w:firstLine="643" w:firstLineChars="200"/>
        <w:rPr>
          <w:rFonts w:ascii="仿宋" w:hAnsi="仿宋" w:eastAsia="仿宋"/>
          <w:sz w:val="32"/>
          <w:szCs w:val="32"/>
        </w:rPr>
      </w:pPr>
      <w:r>
        <w:rPr>
          <w:rFonts w:hint="eastAsia" w:ascii="仿宋" w:hAnsi="仿宋" w:eastAsia="仿宋" w:cs="仿宋"/>
          <w:b/>
          <w:bCs/>
          <w:sz w:val="32"/>
          <w:szCs w:val="32"/>
        </w:rPr>
        <w:t>四是加强班主任队伍建设。</w:t>
      </w:r>
      <w:r>
        <w:rPr>
          <w:rFonts w:hint="eastAsia" w:ascii="仿宋" w:hAnsi="仿宋" w:eastAsia="仿宋"/>
          <w:sz w:val="32"/>
          <w:szCs w:val="32"/>
        </w:rPr>
        <w:t>2018年8月，登封市职业成人教育教研室完成组建并开始工作，2019年主动承担起全市中等职业学校德育工作、班主任赛事、班主任骨干教师系列培训等，各民办中等职业学校积极探索武术、文化双班主任管理，受到较好效果，登封市中等专业学校屈国仓班主任工作室被评为郑州市班主任工作室。</w:t>
      </w:r>
    </w:p>
    <w:p>
      <w:pPr>
        <w:widowControl/>
        <w:spacing w:line="590" w:lineRule="exact"/>
        <w:ind w:firstLine="643" w:firstLineChars="200"/>
        <w:rPr>
          <w:rFonts w:ascii="仿宋" w:hAnsi="仿宋" w:eastAsia="仿宋" w:cs="仿宋_GB2312"/>
          <w:b/>
          <w:bCs/>
          <w:color w:val="000000"/>
          <w:sz w:val="32"/>
          <w:szCs w:val="32"/>
        </w:rPr>
      </w:pPr>
      <w:r>
        <w:rPr>
          <w:rFonts w:hint="eastAsia" w:ascii="楷体" w:hAnsi="楷体" w:eastAsia="楷体" w:cs="仿宋_GB2312"/>
          <w:b/>
          <w:bCs/>
          <w:color w:val="000000"/>
          <w:sz w:val="32"/>
          <w:szCs w:val="32"/>
        </w:rPr>
        <w:t>2.2  就业质量</w:t>
      </w:r>
    </w:p>
    <w:p>
      <w:pPr>
        <w:widowControl/>
        <w:shd w:val="clear" w:color="auto" w:fill="FFFFFF"/>
        <w:spacing w:line="590" w:lineRule="exact"/>
        <w:ind w:firstLine="640" w:firstLineChars="200"/>
        <w:jc w:val="left"/>
        <w:rPr>
          <w:rFonts w:ascii="仿宋" w:hAnsi="仿宋" w:eastAsia="仿宋" w:cs="仿宋_GB2312"/>
          <w:bCs/>
          <w:color w:val="000000"/>
          <w:sz w:val="32"/>
          <w:szCs w:val="32"/>
        </w:rPr>
      </w:pPr>
      <w:r>
        <w:rPr>
          <w:rFonts w:hint="eastAsia" w:ascii="仿宋" w:hAnsi="仿宋" w:eastAsia="仿宋" w:cs="仿宋_GB2312"/>
          <w:bCs/>
          <w:color w:val="000000"/>
          <w:sz w:val="32"/>
          <w:szCs w:val="32"/>
        </w:rPr>
        <w:t>2020年，登封市中等职业教育毕业生总数为6432人，其中，3288人取得职业技术资格证书。毕业生直接就业4521人，对口升学1788人，就业率为95.6%，比上年降低2.6个百分点；初次就业月收入平均约3200元，比上年提高700元。随着中高职衔接机制落实和高职院校扩招，参加对口升学人数持续增加。</w:t>
      </w:r>
    </w:p>
    <w:p>
      <w:pPr>
        <w:spacing w:line="590" w:lineRule="exact"/>
        <w:ind w:firstLine="569" w:firstLineChars="178"/>
        <w:rPr>
          <w:rFonts w:ascii="仿宋" w:hAnsi="仿宋" w:eastAsia="仿宋" w:cs="仿宋_GB2312"/>
          <w:b/>
          <w:color w:val="000000"/>
          <w:sz w:val="32"/>
          <w:szCs w:val="32"/>
        </w:rPr>
      </w:pPr>
      <w:r>
        <w:rPr>
          <w:rFonts w:hint="eastAsia" w:ascii="仿宋" w:hAnsi="仿宋" w:eastAsia="仿宋" w:cs="仿宋"/>
          <w:color w:val="000000" w:themeColor="text1"/>
          <w:sz w:val="32"/>
          <w:szCs w:val="32"/>
        </w:rPr>
        <w:t>2020年，登封市中等专业学校共有毕业生430人，其中参加对口升学 397人，参加对口升学人数比上一年增加34人，增长率为9.4%，没有参加对口升学的33人，通过学校推荐就业或自主就业的有27人，就业率达98.6%，对口就业率达81.5%，比2019年提高12%，学生就业起薪都在2800元以上，就业质量显著提高。</w:t>
      </w:r>
    </w:p>
    <w:p>
      <w:pPr>
        <w:widowControl/>
        <w:shd w:val="clear" w:color="auto" w:fill="FFFFFF"/>
        <w:spacing w:line="590" w:lineRule="exact"/>
        <w:jc w:val="left"/>
        <w:rPr>
          <w:rFonts w:ascii="黑体" w:hAnsi="黑体" w:eastAsia="黑体" w:cs="仿宋_GB2312"/>
          <w:bCs/>
          <w:color w:val="000000"/>
          <w:sz w:val="32"/>
          <w:szCs w:val="32"/>
        </w:rPr>
      </w:pPr>
      <w:r>
        <w:rPr>
          <w:rFonts w:ascii="黑体" w:hAnsi="黑体" w:eastAsia="黑体" w:cs="仿宋_GB2312"/>
          <w:bCs/>
          <w:color w:val="000000"/>
          <w:sz w:val="32"/>
          <w:szCs w:val="32"/>
        </w:rPr>
        <w:t>表</w:t>
      </w:r>
      <w:r>
        <w:rPr>
          <w:rFonts w:hint="eastAsia" w:ascii="黑体" w:hAnsi="黑体" w:eastAsia="黑体" w:cs="仿宋_GB2312"/>
          <w:bCs/>
          <w:color w:val="000000"/>
          <w:sz w:val="32"/>
          <w:szCs w:val="32"/>
        </w:rPr>
        <w:t>2-1:2019-2020年登封市中等专业学校毕业生就业情况表</w:t>
      </w:r>
    </w:p>
    <w:tbl>
      <w:tblPr>
        <w:tblStyle w:val="10"/>
        <w:tblW w:w="8520"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5"/>
        <w:gridCol w:w="1710"/>
        <w:gridCol w:w="1560"/>
        <w:gridCol w:w="153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5" w:hRule="atLeast"/>
        </w:trPr>
        <w:tc>
          <w:tcPr>
            <w:tcW w:w="1815" w:type="dxa"/>
          </w:tcPr>
          <w:p>
            <w:pPr>
              <w:widowControl/>
              <w:spacing w:line="590" w:lineRule="exact"/>
              <w:jc w:val="left"/>
              <w:rPr>
                <w:rFonts w:ascii="仿宋" w:hAnsi="仿宋" w:eastAsia="仿宋" w:cs="仿宋"/>
                <w:color w:val="000000"/>
                <w:kern w:val="0"/>
                <w:sz w:val="28"/>
                <w:szCs w:val="28"/>
              </w:rPr>
            </w:pPr>
            <w:r>
              <w:rPr>
                <w:rFonts w:ascii="仿宋" w:hAnsi="仿宋" w:eastAsia="仿宋" w:cs="仿宋"/>
                <w:color w:val="000000"/>
                <w:kern w:val="0"/>
                <w:sz w:val="28"/>
                <w:szCs w:val="28"/>
              </w:rPr>
              <w:pict>
                <v:line id="_x0000_s1043" o:spid="_x0000_s1043" o:spt="20" style="position:absolute;left:0pt;margin-left:-6.75pt;margin-top:-0.2pt;height:63.75pt;width:92.25pt;z-index:251677696;mso-width-relative:page;mso-height-relative:page;" coordsize="21600,21600" o:gfxdata="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OuXBTXXAAAACQEAAA8AAAAAAAAAAQAgAAAAIgAAAGRycy9kb3ducmV2&#10;LnhtbFBLAQIUABQAAAAIAIdO4kDFpqS2xAEAAF8DAAAOAAAAAAAAAAEAIAAAACYBAABkcnMvZTJv&#10;RG9jLnhtbFBLBQYAAAAABgAGAFkBAABcBQAAAAA=&#10;">
                  <v:path arrowok="t"/>
                  <v:fill focussize="0,0"/>
                  <v:stroke/>
                  <v:imagedata o:title=""/>
                  <o:lock v:ext="edit"/>
                </v:line>
              </w:pict>
            </w:r>
            <w:r>
              <w:rPr>
                <w:rFonts w:hint="eastAsia" w:ascii="仿宋" w:hAnsi="仿宋" w:eastAsia="仿宋" w:cs="仿宋"/>
                <w:color w:val="000000"/>
                <w:kern w:val="0"/>
                <w:sz w:val="28"/>
                <w:szCs w:val="28"/>
              </w:rPr>
              <w:t xml:space="preserve">     项目</w:t>
            </w:r>
          </w:p>
          <w:p>
            <w:pPr>
              <w:widowControl/>
              <w:spacing w:line="590" w:lineRule="exact"/>
              <w:jc w:val="left"/>
              <w:rPr>
                <w:rFonts w:ascii="仿宋" w:hAnsi="仿宋" w:eastAsia="仿宋" w:cs="仿宋"/>
                <w:color w:val="000000"/>
                <w:kern w:val="0"/>
                <w:sz w:val="28"/>
                <w:szCs w:val="28"/>
              </w:rPr>
            </w:pPr>
            <w:r>
              <w:rPr>
                <w:rFonts w:hint="eastAsia" w:ascii="仿宋" w:hAnsi="仿宋" w:eastAsia="仿宋" w:cs="仿宋"/>
                <w:color w:val="000000"/>
                <w:kern w:val="0"/>
                <w:sz w:val="28"/>
                <w:szCs w:val="28"/>
              </w:rPr>
              <w:t>年份</w:t>
            </w:r>
          </w:p>
        </w:tc>
        <w:tc>
          <w:tcPr>
            <w:tcW w:w="1710" w:type="dxa"/>
          </w:tcPr>
          <w:p>
            <w:pPr>
              <w:widowControl/>
              <w:spacing w:line="59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毕业生</w:t>
            </w:r>
          </w:p>
          <w:p>
            <w:pPr>
              <w:widowControl/>
              <w:spacing w:line="59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总人数</w:t>
            </w:r>
          </w:p>
        </w:tc>
        <w:tc>
          <w:tcPr>
            <w:tcW w:w="1560" w:type="dxa"/>
          </w:tcPr>
          <w:p>
            <w:pPr>
              <w:widowControl/>
              <w:spacing w:line="59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直接就</w:t>
            </w:r>
          </w:p>
          <w:p>
            <w:pPr>
              <w:widowControl/>
              <w:spacing w:line="59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业人数</w:t>
            </w:r>
          </w:p>
        </w:tc>
        <w:tc>
          <w:tcPr>
            <w:tcW w:w="1530" w:type="dxa"/>
          </w:tcPr>
          <w:p>
            <w:pPr>
              <w:widowControl/>
              <w:spacing w:line="59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对口升</w:t>
            </w:r>
          </w:p>
          <w:p>
            <w:pPr>
              <w:widowControl/>
              <w:spacing w:line="59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学人数</w:t>
            </w:r>
          </w:p>
        </w:tc>
        <w:tc>
          <w:tcPr>
            <w:tcW w:w="1905" w:type="dxa"/>
          </w:tcPr>
          <w:p>
            <w:pPr>
              <w:widowControl/>
              <w:spacing w:line="59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就业</w:t>
            </w:r>
          </w:p>
          <w:p>
            <w:pPr>
              <w:widowControl/>
              <w:spacing w:line="590" w:lineRule="exact"/>
              <w:jc w:val="center"/>
              <w:rPr>
                <w:rFonts w:ascii="仿宋" w:hAnsi="仿宋" w:eastAsia="仿宋" w:cs="仿宋"/>
                <w:color w:val="000000"/>
                <w:kern w:val="0"/>
                <w:sz w:val="28"/>
                <w:szCs w:val="28"/>
              </w:rPr>
            </w:pPr>
            <w:r>
              <w:rPr>
                <w:rFonts w:hint="eastAsia" w:ascii="仿宋" w:hAnsi="仿宋" w:eastAsia="仿宋" w:cs="仿宋"/>
                <w:color w:val="000000"/>
                <w:kern w:val="0"/>
                <w:sz w:val="28"/>
                <w:szCs w:val="28"/>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1815"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2019年</w:t>
            </w:r>
          </w:p>
        </w:tc>
        <w:tc>
          <w:tcPr>
            <w:tcW w:w="1710"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5803</w:t>
            </w:r>
          </w:p>
        </w:tc>
        <w:tc>
          <w:tcPr>
            <w:tcW w:w="1560"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3782</w:t>
            </w:r>
          </w:p>
        </w:tc>
        <w:tc>
          <w:tcPr>
            <w:tcW w:w="1530"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1917</w:t>
            </w:r>
          </w:p>
        </w:tc>
        <w:tc>
          <w:tcPr>
            <w:tcW w:w="1905"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98.21%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2" w:hRule="atLeast"/>
        </w:trPr>
        <w:tc>
          <w:tcPr>
            <w:tcW w:w="1815"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2020年</w:t>
            </w:r>
          </w:p>
        </w:tc>
        <w:tc>
          <w:tcPr>
            <w:tcW w:w="1710"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 xml:space="preserve">6432 </w:t>
            </w:r>
          </w:p>
        </w:tc>
        <w:tc>
          <w:tcPr>
            <w:tcW w:w="1560"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 xml:space="preserve">4521 </w:t>
            </w:r>
          </w:p>
        </w:tc>
        <w:tc>
          <w:tcPr>
            <w:tcW w:w="1530"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 xml:space="preserve"> 1788</w:t>
            </w:r>
          </w:p>
        </w:tc>
        <w:tc>
          <w:tcPr>
            <w:tcW w:w="1905" w:type="dxa"/>
          </w:tcPr>
          <w:p>
            <w:pPr>
              <w:widowControl/>
              <w:spacing w:line="590" w:lineRule="exact"/>
              <w:jc w:val="center"/>
              <w:rPr>
                <w:rFonts w:ascii="仿宋" w:hAnsi="仿宋" w:eastAsia="仿宋" w:cs="仿宋"/>
                <w:color w:val="585858" w:themeColor="text1" w:themeTint="A6"/>
                <w:kern w:val="0"/>
                <w:sz w:val="24"/>
                <w:szCs w:val="24"/>
              </w:rPr>
            </w:pPr>
            <w:r>
              <w:rPr>
                <w:rFonts w:hint="eastAsia" w:ascii="仿宋" w:hAnsi="仿宋" w:eastAsia="仿宋" w:cs="仿宋"/>
                <w:color w:val="585858" w:themeColor="text1" w:themeTint="A6"/>
                <w:kern w:val="0"/>
                <w:sz w:val="24"/>
                <w:szCs w:val="24"/>
              </w:rPr>
              <w:t xml:space="preserve">95.6% </w:t>
            </w:r>
          </w:p>
        </w:tc>
      </w:tr>
    </w:tbl>
    <w:p>
      <w:pPr>
        <w:widowControl/>
        <w:shd w:val="clear" w:color="auto" w:fill="FFFFFF"/>
        <w:spacing w:line="590" w:lineRule="exact"/>
        <w:jc w:val="center"/>
        <w:rPr>
          <w:rFonts w:ascii="黑体" w:hAnsi="黑体" w:eastAsia="黑体" w:cs="楷体"/>
          <w:b/>
          <w:color w:val="000000"/>
          <w:kern w:val="0"/>
          <w:sz w:val="32"/>
          <w:szCs w:val="32"/>
        </w:rPr>
      </w:pPr>
      <w:r>
        <w:rPr>
          <w:rFonts w:hint="eastAsia" w:ascii="黑体" w:hAnsi="黑体" w:eastAsia="黑体" w:cs="楷体"/>
          <w:b/>
          <w:color w:val="000000"/>
          <w:kern w:val="0"/>
          <w:sz w:val="32"/>
          <w:szCs w:val="32"/>
        </w:rPr>
        <w:t>第三部分  质量保障措施</w:t>
      </w:r>
    </w:p>
    <w:p>
      <w:pPr>
        <w:widowControl/>
        <w:spacing w:line="590" w:lineRule="exact"/>
        <w:ind w:firstLine="643" w:firstLineChars="200"/>
        <w:rPr>
          <w:rFonts w:ascii="仿宋" w:hAnsi="仿宋" w:eastAsia="仿宋" w:cs="仿宋"/>
          <w:b/>
          <w:bCs/>
          <w:color w:val="000000"/>
          <w:kern w:val="0"/>
          <w:sz w:val="32"/>
          <w:szCs w:val="32"/>
        </w:rPr>
      </w:pPr>
      <w:r>
        <w:rPr>
          <w:rFonts w:hint="eastAsia" w:ascii="楷体" w:hAnsi="楷体" w:eastAsia="楷体" w:cs="仿宋"/>
          <w:b/>
          <w:bCs/>
          <w:color w:val="000000"/>
          <w:kern w:val="0"/>
          <w:sz w:val="32"/>
          <w:szCs w:val="32"/>
        </w:rPr>
        <w:t>3.1  专业布局</w:t>
      </w:r>
    </w:p>
    <w:p>
      <w:pPr>
        <w:widowControl/>
        <w:spacing w:line="590" w:lineRule="exact"/>
        <w:ind w:firstLine="640" w:firstLineChars="200"/>
        <w:rPr>
          <w:rFonts w:ascii="仿宋" w:hAnsi="仿宋" w:eastAsia="仿宋"/>
          <w:sz w:val="32"/>
          <w:szCs w:val="32"/>
        </w:rPr>
      </w:pPr>
      <w:r>
        <w:rPr>
          <w:rFonts w:hint="eastAsia" w:ascii="仿宋" w:hAnsi="仿宋" w:eastAsia="仿宋"/>
          <w:sz w:val="32"/>
          <w:szCs w:val="32"/>
        </w:rPr>
        <w:t>专业建设是职业学校发展的生命线。一年来，我们立足登封旅游城市和郑州全国区域中心城市次中心建设，立足登封产业特点和经济社会发展需要，调整发展思路，专业建设进一步强化。目前，全市职业学校共设有旅游服务与管理、机电技术应用、中餐烹饪与膳食营养、计算机技术应用、计算机平面设计、电子技术应用、汽车运用与维修、汽车电子技术应用、会计电算化、音乐、美术绘画、舞蹈表演、运动训练、动漫游戏与制作、中医药康复与保健等15个专业，其中旅游服务与管理、机电技术应用和运动训练专业是河南省职业教育重点建设专业，</w:t>
      </w:r>
      <w:r>
        <w:rPr>
          <w:rFonts w:hint="eastAsia" w:ascii="仿宋" w:hAnsi="仿宋" w:eastAsia="仿宋"/>
          <w:color w:val="252525" w:themeColor="text1" w:themeTint="D9"/>
          <w:sz w:val="32"/>
          <w:szCs w:val="32"/>
        </w:rPr>
        <w:t>电子技术应用、计算机技术应用、中餐烹饪与膳食营养、运动训练专业</w:t>
      </w:r>
      <w:r>
        <w:rPr>
          <w:rFonts w:hint="eastAsia" w:ascii="仿宋" w:hAnsi="仿宋" w:eastAsia="仿宋"/>
          <w:sz w:val="32"/>
          <w:szCs w:val="32"/>
        </w:rPr>
        <w:t>是郑州市级职业教育重点建设专业。</w:t>
      </w:r>
    </w:p>
    <w:p>
      <w:pPr>
        <w:widowControl/>
        <w:spacing w:line="590" w:lineRule="exact"/>
        <w:ind w:firstLine="640" w:firstLineChars="200"/>
        <w:jc w:val="left"/>
        <w:rPr>
          <w:rFonts w:ascii="仿宋" w:hAnsi="仿宋" w:eastAsia="仿宋"/>
          <w:sz w:val="32"/>
          <w:szCs w:val="32"/>
        </w:rPr>
      </w:pPr>
      <w:r>
        <w:rPr>
          <w:rFonts w:hint="eastAsia" w:ascii="仿宋" w:hAnsi="仿宋" w:eastAsia="仿宋"/>
          <w:sz w:val="32"/>
          <w:szCs w:val="32"/>
        </w:rPr>
        <w:t>作为登封市唯一一所公办学校，登封市中等专业学校共开设有14个专业，其中，郑州市级重点建设专业3个，河南省重点建设专业有2个，占专业总数的41.7%。</w:t>
      </w:r>
      <w:r>
        <w:rPr>
          <w:rFonts w:hint="eastAsia" w:ascii="仿宋" w:hAnsi="仿宋" w:eastAsia="仿宋" w:cs="仿宋"/>
          <w:bCs/>
          <w:color w:val="000000" w:themeColor="text1"/>
          <w:sz w:val="32"/>
          <w:szCs w:val="32"/>
        </w:rPr>
        <w:t>2020年3月，登封市中等专业学校结合登封市经济发展需求，增设了计算机动漫与游戏制作和中医保健专业，两个专业的增设申请均通过了郑州市教育局的审批。学校在成功开设三届综合高中班的基础上，开办了职普融合专业班，首届职普融合专业深受欢迎，报名火爆，招收人数达到230人。</w:t>
      </w:r>
      <w:r>
        <w:rPr>
          <w:rFonts w:hint="eastAsia" w:ascii="仿宋" w:hAnsi="仿宋" w:eastAsia="仿宋"/>
          <w:sz w:val="32"/>
          <w:szCs w:val="32"/>
        </w:rPr>
        <w:t>同时，我市其余7所民办中等职业学校以运动训练（武术）专业为主导，还积极创办了适应学生多元发展需要的服务类专业，拓宽学生就业渠道。</w:t>
      </w:r>
    </w:p>
    <w:p>
      <w:pPr>
        <w:widowControl/>
        <w:spacing w:line="590" w:lineRule="exact"/>
        <w:ind w:firstLine="640" w:firstLineChars="200"/>
        <w:jc w:val="left"/>
        <w:rPr>
          <w:rFonts w:hint="eastAsia" w:ascii="仿宋" w:hAnsi="仿宋" w:eastAsia="仿宋" w:cs="仿宋"/>
          <w:bCs/>
          <w:color w:val="000000" w:themeColor="text1"/>
          <w:sz w:val="32"/>
          <w:szCs w:val="32"/>
        </w:rPr>
      </w:pPr>
      <w:r>
        <w:rPr>
          <w:rFonts w:hint="eastAsia" w:ascii="仿宋" w:hAnsi="仿宋" w:eastAsia="仿宋" w:cs="仿宋"/>
          <w:bCs/>
          <w:color w:val="000000" w:themeColor="text1"/>
          <w:sz w:val="32"/>
          <w:szCs w:val="32"/>
        </w:rPr>
        <w:t>截止目前，登封少林中等专业学校专业已设置有散打、套路、拳击、跆拳道、武术表演、太极、泰拳和综合格斗8个培养方向，现在学校又根据国家体育总局跨界选材需要设立了足球、冰球、滑雪、滑板车等项目，并广泛征询专家、学者和社会贤达人士的意见和建议，结合社会人才需求，进一步调整、完善了专业发展方向方案，进一步丰富了专业内容，实现了“武术+”的拓展，使培养的专业人才更贴近社会需求，更好地服务国家建设。</w:t>
      </w:r>
    </w:p>
    <w:p>
      <w:pPr>
        <w:spacing w:line="590" w:lineRule="exact"/>
        <w:ind w:firstLine="643" w:firstLineChars="200"/>
        <w:rPr>
          <w:rFonts w:ascii="楷体" w:hAnsi="楷体" w:eastAsia="楷体" w:cs="仿宋"/>
          <w:b/>
          <w:bCs/>
          <w:color w:val="000000"/>
          <w:kern w:val="0"/>
          <w:sz w:val="32"/>
          <w:szCs w:val="32"/>
        </w:rPr>
      </w:pPr>
      <w:r>
        <w:rPr>
          <w:rFonts w:hint="eastAsia" w:ascii="楷体" w:hAnsi="楷体" w:eastAsia="楷体" w:cs="仿宋"/>
          <w:b/>
          <w:bCs/>
          <w:color w:val="000000"/>
          <w:kern w:val="0"/>
          <w:sz w:val="32"/>
          <w:szCs w:val="32"/>
        </w:rPr>
        <w:t>3.2  质量保证</w:t>
      </w:r>
    </w:p>
    <w:p>
      <w:pPr>
        <w:spacing w:line="590" w:lineRule="exact"/>
        <w:ind w:firstLine="643" w:firstLineChars="200"/>
        <w:rPr>
          <w:rFonts w:ascii="仿宋_GB2312" w:hAnsi="新宋体" w:eastAsia="仿宋_GB2312"/>
          <w:spacing w:val="-4"/>
          <w:sz w:val="32"/>
          <w:szCs w:val="32"/>
        </w:rPr>
      </w:pPr>
      <w:r>
        <w:rPr>
          <w:rFonts w:hint="eastAsia" w:ascii="仿宋" w:hAnsi="仿宋" w:eastAsia="仿宋" w:cs="仿宋"/>
          <w:b/>
          <w:bCs/>
          <w:color w:val="000000"/>
          <w:kern w:val="0"/>
          <w:sz w:val="32"/>
          <w:szCs w:val="32"/>
        </w:rPr>
        <w:t>一是持续推进教育教学改革，正确把握学校育人方向。</w:t>
      </w:r>
      <w:r>
        <w:rPr>
          <w:rFonts w:hint="eastAsia" w:ascii="仿宋" w:hAnsi="仿宋" w:eastAsia="仿宋" w:cs="仿宋"/>
          <w:bCs/>
          <w:color w:val="000000"/>
          <w:kern w:val="0"/>
          <w:sz w:val="32"/>
          <w:szCs w:val="32"/>
        </w:rPr>
        <w:t>突出德育首位，强化校园文化建设，优化育人环境，重视社团建设，发挥育人功能，丰富德育活动，增强德育实效。在教材选用、教学资源建设、信息化教学、实训基地建设等方面开展了卓有成效的实践和研究。登封少林中等专业学校采用</w:t>
      </w:r>
      <w:r>
        <w:rPr>
          <w:rFonts w:hint="eastAsia" w:ascii="仿宋_GB2312" w:hAnsi="新宋体" w:eastAsia="仿宋_GB2312"/>
          <w:spacing w:val="-4"/>
          <w:sz w:val="32"/>
          <w:szCs w:val="32"/>
        </w:rPr>
        <w:t>问题倒查制，形成了人人抓教学，人人抓管理，人人抓安全的良好局面。专业课教学和公共基础课教学都充分利用校内现代化教学设备，在学科教学中把信息技术和课程内容有机结合，使教学的表现形式更加多样化、形象化、视觉化，以可视的静态或动态的方式吸引学生的注意力，使学生感受视觉、听觉形象的同时，调动学生的学习积极性，激发学习兴趣，达到强化对所学知识的理解与记忆效果。特别是在2020年疫情期间，信息技术与专业教学的融合帮助学校克服了新冠疫情的难关，学校利用先进的信息设备录制了传统套路小洪拳、大洪拳、七星拳、刀、枪、剑等教学视频，散打攻、防、摔技法等教学视频进行网上教学，公共基础课也按计划进行了网上授课，让身在全国各地的每一位学生都能按时学到应有的专业和学科知识。学校还优选了许多竞技比赛实录视频供专业课教师和学生研讨学习，提升专业水平和竞技能力。</w:t>
      </w:r>
    </w:p>
    <w:p>
      <w:pPr>
        <w:spacing w:line="590" w:lineRule="exact"/>
        <w:ind w:firstLine="643" w:firstLineChars="200"/>
        <w:rPr>
          <w:rFonts w:ascii="仿宋" w:hAnsi="仿宋" w:eastAsia="仿宋" w:cs="仿宋"/>
          <w:bCs/>
          <w:color w:val="000000"/>
          <w:kern w:val="0"/>
          <w:sz w:val="32"/>
          <w:szCs w:val="32"/>
        </w:rPr>
      </w:pPr>
      <w:r>
        <w:rPr>
          <w:rFonts w:hint="eastAsia" w:ascii="仿宋" w:hAnsi="仿宋" w:eastAsia="仿宋" w:cs="仿宋"/>
          <w:b/>
          <w:bCs/>
          <w:color w:val="000000"/>
          <w:kern w:val="0"/>
          <w:sz w:val="32"/>
          <w:szCs w:val="32"/>
        </w:rPr>
        <w:t>二是完善课堂教学评价体系，规范职业教育教学管理。</w:t>
      </w:r>
      <w:r>
        <w:rPr>
          <w:rFonts w:hint="eastAsia" w:ascii="仿宋" w:hAnsi="仿宋" w:eastAsia="仿宋" w:cs="仿宋"/>
          <w:bCs/>
          <w:color w:val="000000"/>
          <w:kern w:val="0"/>
          <w:sz w:val="32"/>
          <w:szCs w:val="32"/>
        </w:rPr>
        <w:t>经过调研、座谈、征求意见，制定并下发《登封市中等职业学校教材使用管理办法的通知》和《登封市中等职业学校课堂教学达标评优活动实施方案》。聘请兼职教研员35人。有效解决了全市公、民办学校专业人才培养目标、课程设置、教材、教学计划、教学设计、教案书写等方面存在的问题，按照上级要求，强化了校本教材的编写和使用管理。</w:t>
      </w:r>
    </w:p>
    <w:p>
      <w:pPr>
        <w:spacing w:line="590" w:lineRule="exact"/>
        <w:ind w:firstLine="662" w:firstLineChars="206"/>
        <w:rPr>
          <w:rFonts w:hint="eastAsia" w:ascii="仿宋" w:hAnsi="仿宋" w:eastAsia="仿宋"/>
          <w:sz w:val="32"/>
          <w:szCs w:val="32"/>
        </w:rPr>
      </w:pPr>
      <w:r>
        <w:rPr>
          <w:rFonts w:hint="eastAsia" w:ascii="仿宋" w:hAnsi="仿宋" w:eastAsia="仿宋" w:cs="仿宋"/>
          <w:b/>
          <w:bCs/>
          <w:color w:val="000000"/>
          <w:kern w:val="0"/>
          <w:sz w:val="32"/>
          <w:szCs w:val="32"/>
        </w:rPr>
        <w:t>三是深入开展职业教育优质课评选活动，提升课堂教学效率</w:t>
      </w:r>
      <w:r>
        <w:rPr>
          <w:rFonts w:hint="eastAsia" w:ascii="仿宋" w:hAnsi="仿宋" w:eastAsia="仿宋" w:cs="仿宋"/>
          <w:bCs/>
          <w:color w:val="000000"/>
          <w:kern w:val="0"/>
          <w:sz w:val="32"/>
          <w:szCs w:val="32"/>
        </w:rPr>
        <w:t>。认真组织教师学习省市中职学校优质课评选标准，增强课堂教学规范性改革的针对性。组织专业人员深入学校指导教师课堂教学118节次，复评职业教育优质课31节，评出登封市中等职业学校优质课一等奖9名，二等奖12名，三等奖10名。2020年，在郑州市优质课评选中，荣获一等奖4人，二等奖3人，三等奖8人；</w:t>
      </w:r>
      <w:r>
        <w:rPr>
          <w:rFonts w:hint="eastAsia" w:ascii="仿宋" w:hAnsi="仿宋" w:eastAsia="仿宋"/>
          <w:sz w:val="32"/>
          <w:szCs w:val="32"/>
        </w:rPr>
        <w:t>在河南省优质课评选中，荣获一等奖2人，二等奖4人，三等奖3人.2020年，在河南省中等职业学校信息化教学设计及说课大赛中参赛6人，获得二等奖2人，三等奖1人。</w:t>
      </w:r>
    </w:p>
    <w:p>
      <w:pPr>
        <w:pStyle w:val="15"/>
        <w:widowControl w:val="0"/>
        <w:spacing w:line="590" w:lineRule="exact"/>
        <w:ind w:firstLine="643" w:firstLineChars="200"/>
        <w:jc w:val="both"/>
        <w:rPr>
          <w:rFonts w:ascii="仿宋" w:hAnsi="仿宋" w:eastAsia="仿宋" w:cs="仿宋"/>
          <w:bCs/>
          <w:color w:val="000000"/>
          <w:sz w:val="32"/>
          <w:szCs w:val="32"/>
        </w:rPr>
      </w:pPr>
      <w:r>
        <w:rPr>
          <w:rFonts w:hint="eastAsia" w:ascii="仿宋" w:hAnsi="仿宋" w:eastAsia="仿宋" w:cs="仿宋"/>
          <w:b/>
          <w:bCs/>
          <w:color w:val="000000"/>
          <w:sz w:val="32"/>
          <w:szCs w:val="32"/>
        </w:rPr>
        <w:t>四是完善学生素养考核体系，提升学生专业技能。</w:t>
      </w:r>
      <w:r>
        <w:rPr>
          <w:rFonts w:hint="eastAsia" w:ascii="仿宋" w:hAnsi="仿宋" w:eastAsia="仿宋" w:cs="仿宋"/>
          <w:bCs/>
          <w:color w:val="000000"/>
          <w:sz w:val="32"/>
          <w:szCs w:val="32"/>
        </w:rPr>
        <w:t>以中职</w:t>
      </w:r>
      <w:r>
        <w:rPr>
          <w:rFonts w:hint="eastAsia" w:ascii="仿宋" w:hAnsi="仿宋" w:eastAsia="仿宋" w:cs="仿宋"/>
          <w:bCs/>
          <w:color w:val="3F3F3F" w:themeColor="text1" w:themeTint="BF"/>
          <w:kern w:val="2"/>
          <w:sz w:val="32"/>
          <w:szCs w:val="32"/>
        </w:rPr>
        <w:t>学生</w:t>
      </w:r>
      <w:r>
        <w:rPr>
          <w:rFonts w:hint="eastAsia" w:ascii="仿宋" w:hAnsi="仿宋" w:eastAsia="仿宋" w:cs="仿宋"/>
          <w:bCs/>
          <w:color w:val="000000"/>
          <w:sz w:val="32"/>
          <w:szCs w:val="32"/>
        </w:rPr>
        <w:t>“5+1”技能考核和技能展示和竞赛活动为载体，完善学生技能考核体系。学校每学期至少组织两次技能考核，考核成绩计入学生学业档案。登封市中等专业学校每学期组织一次技能展示活动，邀请家长参与其中，既展示了学校教育成效，又加深了社会对职业教育的了解和认识。2020年郑州市中职学校二十六届学生技能大赛。一等奖2人，二等奖2人，三等奖10人。登封少林中等专业学校等学校每学期组织一次大型运动会，全面检验师生学习成果，受到社会一致好评。</w:t>
      </w:r>
      <w:r>
        <w:rPr>
          <w:rFonts w:hint="eastAsia" w:ascii="仿宋_GB2312" w:hAnsi="新宋体" w:eastAsia="仿宋_GB2312" w:cs="仿宋_GB2312"/>
          <w:sz w:val="32"/>
          <w:szCs w:val="32"/>
        </w:rPr>
        <w:t>2020年，登封少林中等专业学校共参加各类比赛44项，夺得金牌119枚，银牌98枚，铜牌150枚。其中散打项目参加了河南省武术散打锦标赛，夺得34金34银67铜；</w:t>
      </w:r>
      <w:r>
        <w:rPr>
          <w:rFonts w:hint="eastAsia" w:ascii="仿宋_GB2312" w:hAnsi="新宋体" w:eastAsia="仿宋_GB2312" w:cs="仿宋_GB2312"/>
          <w:bCs/>
          <w:sz w:val="32"/>
          <w:szCs w:val="32"/>
        </w:rPr>
        <w:t>套路项目</w:t>
      </w:r>
      <w:r>
        <w:rPr>
          <w:rFonts w:hint="eastAsia" w:ascii="仿宋_GB2312" w:hAnsi="新宋体" w:eastAsia="仿宋_GB2312" w:cs="仿宋_GB2312"/>
          <w:sz w:val="32"/>
          <w:szCs w:val="32"/>
        </w:rPr>
        <w:t>参加了河南省第四届传统武术大赛、河南省传统武术套路锦标赛、河南省武术套路锦标赛，夺得62金47银47铜；</w:t>
      </w:r>
      <w:r>
        <w:rPr>
          <w:rFonts w:hint="eastAsia" w:ascii="仿宋_GB2312" w:hAnsi="新宋体" w:eastAsia="仿宋_GB2312" w:cs="仿宋_GB2312"/>
          <w:bCs/>
          <w:sz w:val="32"/>
          <w:szCs w:val="32"/>
        </w:rPr>
        <w:t>拳击项目</w:t>
      </w:r>
      <w:r>
        <w:rPr>
          <w:rFonts w:hint="eastAsia" w:ascii="仿宋_GB2312" w:hAnsi="新宋体" w:eastAsia="仿宋_GB2312" w:cs="仿宋_GB2312"/>
          <w:sz w:val="32"/>
          <w:szCs w:val="32"/>
        </w:rPr>
        <w:t>参加了河南省青少年拳击锦标赛、辽宁省拳击锦标赛，夺得15金11银22铜；</w:t>
      </w:r>
      <w:r>
        <w:rPr>
          <w:rFonts w:hint="eastAsia" w:ascii="仿宋_GB2312" w:hAnsi="新宋体" w:eastAsia="仿宋_GB2312" w:cs="仿宋_GB2312"/>
          <w:bCs/>
          <w:sz w:val="32"/>
          <w:szCs w:val="32"/>
        </w:rPr>
        <w:t>跆拳道项目</w:t>
      </w:r>
      <w:r>
        <w:rPr>
          <w:rFonts w:hint="eastAsia" w:ascii="仿宋_GB2312" w:hAnsi="新宋体" w:eastAsia="仿宋_GB2312" w:cs="仿宋_GB2312"/>
          <w:sz w:val="32"/>
          <w:szCs w:val="32"/>
        </w:rPr>
        <w:t>参加了河南省跆拳道锦标赛，夺得6金6银11铜。</w:t>
      </w:r>
    </w:p>
    <w:p>
      <w:pPr>
        <w:spacing w:line="590" w:lineRule="exact"/>
        <w:ind w:firstLine="643" w:firstLineChars="200"/>
        <w:rPr>
          <w:rFonts w:ascii="仿宋" w:hAnsi="仿宋" w:eastAsia="仿宋" w:cs="仿宋"/>
          <w:bCs/>
          <w:color w:val="000000"/>
          <w:kern w:val="0"/>
          <w:sz w:val="32"/>
          <w:szCs w:val="32"/>
        </w:rPr>
      </w:pPr>
      <w:r>
        <w:rPr>
          <w:rFonts w:hint="eastAsia" w:ascii="仿宋" w:hAnsi="仿宋" w:eastAsia="仿宋"/>
          <w:b/>
          <w:sz w:val="32"/>
          <w:szCs w:val="32"/>
        </w:rPr>
        <w:t>五是完善教学质量监测体系，积极开展质量分析。</w:t>
      </w:r>
      <w:r>
        <w:rPr>
          <w:rFonts w:hint="eastAsia" w:ascii="仿宋" w:hAnsi="仿宋" w:eastAsia="仿宋"/>
          <w:sz w:val="32"/>
          <w:szCs w:val="32"/>
        </w:rPr>
        <w:t>认真落实河南省、郑州市关于中职学校学生水平测试有关要求，严格组织学生学业水平测试。每学期结束前</w:t>
      </w:r>
      <w:r>
        <w:rPr>
          <w:rFonts w:hint="eastAsia" w:ascii="仿宋" w:hAnsi="仿宋" w:eastAsia="仿宋" w:cs="仿宋"/>
          <w:bCs/>
          <w:color w:val="000000"/>
          <w:kern w:val="0"/>
          <w:sz w:val="32"/>
          <w:szCs w:val="32"/>
        </w:rPr>
        <w:t>，组织全市中职学校公共基础课测试工作。2020年7月3日和10日，我们采用标准化编场、互派巡视员、网上阅卷、大数据分析等现代信息技术手段，组织学业水平测试，通过成绩分析，形成专题分析报告，指导学校提高质量。</w:t>
      </w:r>
      <w:r>
        <w:rPr>
          <w:rFonts w:hint="eastAsia" w:ascii="仿宋" w:hAnsi="仿宋" w:eastAsia="仿宋"/>
          <w:sz w:val="32"/>
          <w:szCs w:val="32"/>
        </w:rPr>
        <w:t>同时，各学校还制定并不断完善教育教学质量监测实施办法，建立了以学校为核心、第三方参与的人才培养质量评价机制，以教学效果评价教师、以素质能力评价学生,以社会贡献评价学校。召开专题会议，积极推进学分制改革，促进学校教育教学规范化管理。</w:t>
      </w:r>
    </w:p>
    <w:p>
      <w:pPr>
        <w:spacing w:line="590" w:lineRule="exact"/>
        <w:ind w:firstLine="643" w:firstLineChars="200"/>
        <w:rPr>
          <w:rFonts w:ascii="仿宋" w:hAnsi="仿宋" w:eastAsia="仿宋" w:cs="仿宋"/>
          <w:bCs/>
          <w:color w:val="000000"/>
          <w:kern w:val="0"/>
          <w:sz w:val="32"/>
          <w:szCs w:val="32"/>
        </w:rPr>
      </w:pPr>
      <w:r>
        <w:rPr>
          <w:rFonts w:hint="eastAsia" w:ascii="仿宋" w:hAnsi="仿宋" w:eastAsia="仿宋" w:cs="仿宋"/>
          <w:b/>
          <w:bCs/>
          <w:color w:val="000000"/>
          <w:kern w:val="0"/>
          <w:sz w:val="32"/>
          <w:szCs w:val="32"/>
        </w:rPr>
        <w:t>六是认真组织集中宣传，全面展示职业教育发展成果。</w:t>
      </w:r>
      <w:r>
        <w:rPr>
          <w:rFonts w:hint="eastAsia" w:ascii="仿宋" w:hAnsi="仿宋" w:eastAsia="仿宋" w:cs="仿宋"/>
          <w:bCs/>
          <w:color w:val="000000"/>
          <w:kern w:val="0"/>
          <w:sz w:val="32"/>
          <w:szCs w:val="32"/>
        </w:rPr>
        <w:t>2020年11月9日至15日认真组织开展职业教育活动周，通过展版、横幅、视频、专业展示等多形式宣传，营造良好舆论氛围，烘托活动周气氛；挖掘学生成才案例，形成书面材料；搜集整理典型宣传报道案例和视频材料；活动周期间“天天有活动、处处有看点、人人有收获”，达到展成就、扩影响、促发展的目的</w:t>
      </w:r>
      <w:r>
        <w:rPr>
          <w:rFonts w:hint="eastAsia" w:ascii="仿宋" w:hAnsi="仿宋" w:eastAsia="仿宋" w:cs="仿宋"/>
          <w:b/>
          <w:bCs/>
          <w:color w:val="000000"/>
          <w:kern w:val="0"/>
          <w:sz w:val="32"/>
          <w:szCs w:val="32"/>
        </w:rPr>
        <w:t>。</w:t>
      </w:r>
      <w:r>
        <w:rPr>
          <w:rFonts w:hint="eastAsia" w:ascii="仿宋" w:hAnsi="仿宋" w:eastAsia="仿宋" w:cs="仿宋"/>
          <w:bCs/>
          <w:color w:val="000000"/>
          <w:kern w:val="0"/>
          <w:sz w:val="32"/>
          <w:szCs w:val="32"/>
        </w:rPr>
        <w:t>举办职业教育技能竞赛、参加省市中职赛事活动、参与春晚等大型庆典活动，抓住每一次宣传和展现登封职业教育特色成果</w:t>
      </w:r>
      <w:r>
        <w:rPr>
          <w:rFonts w:ascii="仿宋" w:hAnsi="仿宋" w:eastAsia="仿宋" w:cs="仿宋"/>
          <w:bCs/>
          <w:color w:val="000000"/>
          <w:kern w:val="0"/>
          <w:sz w:val="32"/>
          <w:szCs w:val="32"/>
        </w:rPr>
        <w:t xml:space="preserve"> </w:t>
      </w:r>
    </w:p>
    <w:p>
      <w:pPr>
        <w:spacing w:line="590" w:lineRule="exact"/>
        <w:ind w:firstLine="643" w:firstLineChars="200"/>
        <w:rPr>
          <w:rFonts w:ascii="仿宋" w:hAnsi="仿宋" w:eastAsia="仿宋" w:cs="仿宋"/>
          <w:b/>
          <w:bCs/>
          <w:color w:val="000000"/>
          <w:kern w:val="0"/>
          <w:sz w:val="32"/>
          <w:szCs w:val="32"/>
        </w:rPr>
      </w:pPr>
      <w:r>
        <w:rPr>
          <w:rFonts w:hint="eastAsia" w:ascii="楷体" w:hAnsi="楷体" w:eastAsia="楷体" w:cs="仿宋"/>
          <w:b/>
          <w:bCs/>
          <w:color w:val="000000"/>
          <w:kern w:val="0"/>
          <w:sz w:val="32"/>
          <w:szCs w:val="32"/>
        </w:rPr>
        <w:t>3.3  落实教师编制，教师培养培训情况</w:t>
      </w:r>
    </w:p>
    <w:p>
      <w:pPr>
        <w:widowControl/>
        <w:spacing w:line="590" w:lineRule="exact"/>
        <w:ind w:firstLine="640" w:firstLineChars="200"/>
        <w:rPr>
          <w:rFonts w:ascii="仿宋" w:hAnsi="仿宋" w:eastAsia="仿宋" w:cs="仿宋_GB2312"/>
          <w:bCs/>
          <w:color w:val="000000"/>
          <w:kern w:val="36"/>
          <w:sz w:val="32"/>
          <w:szCs w:val="32"/>
        </w:rPr>
      </w:pPr>
      <w:r>
        <w:rPr>
          <w:rFonts w:hint="eastAsia" w:ascii="仿宋" w:hAnsi="仿宋" w:eastAsia="仿宋" w:cs="仿宋_GB2312"/>
          <w:bCs/>
          <w:color w:val="000000"/>
          <w:kern w:val="36"/>
          <w:sz w:val="32"/>
          <w:szCs w:val="32"/>
        </w:rPr>
        <w:t>自2018年全市公办学校完成资源整合，合点并校以来，我们高度重视专任教师业务提升，优化师资结构，强化师资培训。通过专项治理，各民办学校也将教师队伍建设列入重要日程，积极推进教师社会统筹和劳动报酬改革，并通过不同形式组织和参与思想政治和专业技能培训，师资水平不断提升。2020年，全市参与各级各类教师专题培训12000多人次。</w:t>
      </w:r>
    </w:p>
    <w:p>
      <w:pPr>
        <w:spacing w:line="590" w:lineRule="exact"/>
        <w:jc w:val="center"/>
        <w:rPr>
          <w:rFonts w:ascii="黑体" w:hAnsi="黑体" w:eastAsia="黑体" w:cs="宋体"/>
          <w:b/>
          <w:color w:val="000000"/>
          <w:kern w:val="0"/>
          <w:sz w:val="32"/>
          <w:szCs w:val="32"/>
        </w:rPr>
      </w:pPr>
      <w:r>
        <w:rPr>
          <w:rFonts w:hint="eastAsia" w:ascii="黑体" w:hAnsi="黑体" w:eastAsia="黑体" w:cs="楷体"/>
          <w:b/>
          <w:color w:val="000000"/>
          <w:kern w:val="0"/>
          <w:sz w:val="32"/>
          <w:szCs w:val="32"/>
        </w:rPr>
        <w:t>第四部分  校企合作</w:t>
      </w:r>
    </w:p>
    <w:p>
      <w:pPr>
        <w:spacing w:line="590" w:lineRule="exact"/>
        <w:ind w:firstLine="645"/>
        <w:rPr>
          <w:rFonts w:ascii="仿宋" w:hAnsi="仿宋" w:eastAsia="仿宋" w:cs="仿宋_GB2312"/>
          <w:b/>
          <w:bCs/>
          <w:color w:val="000000"/>
          <w:sz w:val="32"/>
          <w:szCs w:val="32"/>
        </w:rPr>
      </w:pPr>
      <w:r>
        <w:rPr>
          <w:rFonts w:hint="eastAsia" w:ascii="楷体" w:hAnsi="楷体" w:eastAsia="楷体" w:cs="仿宋_GB2312"/>
          <w:b/>
          <w:bCs/>
          <w:color w:val="000000"/>
          <w:sz w:val="32"/>
          <w:szCs w:val="32"/>
        </w:rPr>
        <w:t>4.1  校企合作开展情况和效果</w:t>
      </w:r>
    </w:p>
    <w:p>
      <w:pPr>
        <w:widowControl/>
        <w:shd w:val="clear" w:color="auto" w:fill="FFFFFF"/>
        <w:spacing w:line="590" w:lineRule="exact"/>
        <w:ind w:firstLine="640" w:firstLineChars="200"/>
        <w:jc w:val="left"/>
        <w:rPr>
          <w:rFonts w:ascii="仿宋" w:hAnsi="仿宋" w:eastAsia="仿宋" w:cs="仿宋"/>
          <w:b/>
          <w:bCs/>
          <w:sz w:val="32"/>
          <w:szCs w:val="32"/>
        </w:rPr>
      </w:pPr>
      <w:r>
        <w:rPr>
          <w:rFonts w:hint="eastAsia" w:ascii="仿宋" w:hAnsi="仿宋" w:eastAsia="仿宋"/>
          <w:sz w:val="32"/>
          <w:szCs w:val="32"/>
        </w:rPr>
        <w:t>校企合作是中职学校高质量内涵发展的必由之路。</w:t>
      </w:r>
      <w:r>
        <w:rPr>
          <w:rFonts w:hint="eastAsia" w:ascii="仿宋" w:hAnsi="仿宋" w:eastAsia="仿宋" w:cs="仿宋"/>
          <w:bCs/>
          <w:color w:val="000000" w:themeColor="text1"/>
          <w:sz w:val="32"/>
          <w:szCs w:val="32"/>
        </w:rPr>
        <w:t>2020年校企合作工作稳中有进，引企入校方面，登封市中等专业学校继续与登封琳婧电子科技有限公司开展校企合作，联合培养“网上推广、电商运营、电商外包、电商培训、电商小程序及网上销售”专业技能人才，登封琳婧电子科技有限公司在登封中专投资建设一个专用机房，装了50台电脑。登封中专计算机专业学生参加电商运营培训，提高电子商务的应用能力。</w:t>
      </w:r>
      <w:r>
        <w:rPr>
          <w:rFonts w:hint="eastAsia" w:ascii="仿宋" w:hAnsi="仿宋" w:eastAsia="仿宋"/>
          <w:sz w:val="32"/>
          <w:szCs w:val="32"/>
        </w:rPr>
        <w:t>各武术职业学校均制定有订单培养计划，成立有外联部，建立对外实习实训培训基地。</w:t>
      </w:r>
      <w:r>
        <w:rPr>
          <w:rFonts w:hint="eastAsia" w:ascii="仿宋" w:hAnsi="仿宋" w:eastAsia="仿宋" w:cs="仿宋_GB2312"/>
          <w:sz w:val="32"/>
          <w:szCs w:val="32"/>
        </w:rPr>
        <w:t>登封少林中等专业学校与全国顶级传媒公司合作，组织专业技能实践，使学生在一次次活动中陶冶了情操，历练了意志，提升了技能。</w:t>
      </w:r>
      <w:r>
        <w:rPr>
          <w:rFonts w:hint="eastAsia" w:ascii="仿宋" w:hAnsi="仿宋" w:eastAsia="仿宋" w:cs="仿宋"/>
          <w:bCs/>
          <w:sz w:val="32"/>
          <w:szCs w:val="32"/>
        </w:rPr>
        <w:t>登封少林鹅坡武术中等专业学校</w:t>
      </w:r>
      <w:r>
        <w:rPr>
          <w:rFonts w:hint="eastAsia" w:ascii="仿宋" w:hAnsi="仿宋" w:eastAsia="仿宋" w:cs="仿宋_GB2312"/>
          <w:sz w:val="32"/>
          <w:szCs w:val="32"/>
        </w:rPr>
        <w:t>积极实施校企合作，工学结合，顶岗实习人才培养模式，先后与郑州歌舞剧院和湖北襄阳演艺公司签约，演绎了文化精品舞台剧《精忠报国》和大型实景《大唐倚梦》。少林小龙武术中等专业学校创建河南同川影视等教育教学经营结合学生实习基地，学生参与影视拍摄和制作2000多人次。</w:t>
      </w:r>
      <w:r>
        <w:rPr>
          <w:rFonts w:hint="eastAsia" w:ascii="仿宋" w:hAnsi="仿宋" w:eastAsia="仿宋" w:cs="仿宋"/>
          <w:bCs/>
          <w:color w:val="000000"/>
          <w:kern w:val="0"/>
          <w:sz w:val="32"/>
          <w:szCs w:val="32"/>
        </w:rPr>
        <w:t xml:space="preserve">2020年，登封少林弘武中等专业学校校企合作办学企业12家，为学生实习提供了更多的平台。 </w:t>
      </w:r>
    </w:p>
    <w:p>
      <w:pPr>
        <w:widowControl/>
        <w:spacing w:line="590" w:lineRule="exact"/>
        <w:ind w:firstLine="640"/>
        <w:jc w:val="left"/>
        <w:rPr>
          <w:rFonts w:ascii="仿宋" w:hAnsi="仿宋" w:eastAsia="仿宋" w:cs="仿宋"/>
          <w:b/>
          <w:bCs/>
          <w:kern w:val="0"/>
          <w:sz w:val="32"/>
          <w:szCs w:val="32"/>
        </w:rPr>
      </w:pPr>
      <w:r>
        <w:rPr>
          <w:rFonts w:hint="eastAsia" w:ascii="楷体" w:hAnsi="楷体" w:eastAsia="楷体" w:cs="仿宋"/>
          <w:b/>
          <w:kern w:val="0"/>
          <w:sz w:val="32"/>
          <w:szCs w:val="32"/>
        </w:rPr>
        <w:t>4.2  学生实习情况</w:t>
      </w:r>
    </w:p>
    <w:p>
      <w:pPr>
        <w:widowControl/>
        <w:spacing w:line="590" w:lineRule="exact"/>
        <w:ind w:firstLine="640"/>
        <w:jc w:val="left"/>
        <w:rPr>
          <w:rFonts w:ascii="仿宋" w:hAnsi="仿宋" w:eastAsia="仿宋"/>
          <w:sz w:val="32"/>
          <w:szCs w:val="32"/>
        </w:rPr>
      </w:pPr>
      <w:r>
        <w:rPr>
          <w:rFonts w:hint="eastAsia" w:ascii="仿宋" w:hAnsi="仿宋" w:eastAsia="仿宋"/>
          <w:sz w:val="32"/>
          <w:szCs w:val="32"/>
        </w:rPr>
        <w:t>严格执行《教育部等五部门关于印发&lt;职业学校学生实习管理规定&gt;的通知》(教职成[2016]3号</w:t>
      </w:r>
      <w:r>
        <w:rPr>
          <w:rFonts w:hint="eastAsia" w:ascii="仿宋" w:eastAsia="仿宋"/>
          <w:sz w:val="32"/>
          <w:szCs w:val="32"/>
        </w:rPr>
        <w:t> </w:t>
      </w:r>
      <w:r>
        <w:rPr>
          <w:rFonts w:hint="eastAsia" w:ascii="仿宋" w:hAnsi="仿宋" w:eastAsia="仿宋"/>
          <w:sz w:val="32"/>
          <w:szCs w:val="32"/>
        </w:rPr>
        <w:t>)文,制定了《登封市中等专业学校实习就业管理制度》，强化领导，校长为学校实习、就业领导小组组长、招生就业办、教务科、专业部主任为成员。明确任务，落实责任。每学期开学前一周，制定工作计划，学期结束一周内，完成工作总结，每年的七八月份各校组织学生进行实习工作，十月份完成就业档案装订工作。</w:t>
      </w:r>
    </w:p>
    <w:p>
      <w:pPr>
        <w:widowControl/>
        <w:spacing w:line="590" w:lineRule="exact"/>
        <w:ind w:firstLine="640"/>
        <w:jc w:val="left"/>
        <w:rPr>
          <w:rFonts w:ascii="仿宋" w:hAnsi="仿宋" w:eastAsia="仿宋"/>
          <w:sz w:val="32"/>
          <w:szCs w:val="32"/>
        </w:rPr>
      </w:pPr>
      <w:r>
        <w:rPr>
          <w:rFonts w:hint="eastAsia" w:ascii="仿宋" w:hAnsi="仿宋" w:eastAsia="仿宋" w:cs="仿宋"/>
          <w:bCs/>
          <w:color w:val="000000" w:themeColor="text1"/>
          <w:sz w:val="32"/>
          <w:szCs w:val="32"/>
        </w:rPr>
        <w:t>2020年6月21日至10月15日。登封市中等专业学校组织228名二年级学生到山东潍坊歌尔股份有限公司参加为期三个多月的顶岗实习，另外组织烹饪专业15名学生到上海松江开元名都大酒店参加顶岗实习。</w:t>
      </w:r>
      <w:r>
        <w:rPr>
          <w:rFonts w:hint="eastAsia" w:ascii="仿宋" w:hAnsi="仿宋" w:eastAsia="仿宋"/>
          <w:sz w:val="32"/>
          <w:szCs w:val="32"/>
        </w:rPr>
        <w:t>登封少林中等专业学校与少林宝剑厂、郑州少林禅武体育用品有限公司开展校企合作，安排3批学生进行企业实习。其他学校也按照全市工作要求采取不同形式，分不同批次安排学生进行了顶岗实习。</w:t>
      </w:r>
    </w:p>
    <w:p>
      <w:pPr>
        <w:spacing w:line="590" w:lineRule="exact"/>
        <w:ind w:firstLine="645"/>
        <w:rPr>
          <w:rFonts w:ascii="仿宋" w:hAnsi="仿宋" w:eastAsia="仿宋" w:cs="仿宋_GB2312"/>
          <w:b/>
          <w:bCs/>
          <w:color w:val="000000"/>
          <w:sz w:val="32"/>
          <w:szCs w:val="32"/>
        </w:rPr>
      </w:pPr>
      <w:r>
        <w:rPr>
          <w:rFonts w:hint="eastAsia" w:ascii="楷体" w:hAnsi="楷体" w:eastAsia="楷体" w:cs="仿宋_GB2312"/>
          <w:b/>
          <w:bCs/>
          <w:color w:val="000000"/>
          <w:sz w:val="32"/>
          <w:szCs w:val="32"/>
        </w:rPr>
        <w:t>4.3  集团化办学情况</w:t>
      </w:r>
    </w:p>
    <w:p>
      <w:pPr>
        <w:spacing w:line="590" w:lineRule="exact"/>
        <w:ind w:firstLine="645"/>
        <w:rPr>
          <w:rFonts w:ascii="仿宋" w:hAnsi="仿宋" w:eastAsia="仿宋"/>
          <w:sz w:val="32"/>
          <w:szCs w:val="32"/>
        </w:rPr>
      </w:pPr>
      <w:r>
        <w:rPr>
          <w:rFonts w:hint="eastAsia" w:ascii="仿宋" w:hAnsi="仿宋" w:eastAsia="仿宋"/>
          <w:sz w:val="32"/>
          <w:szCs w:val="32"/>
        </w:rPr>
        <w:t>我市民办中等职业学校以少林武术为核心辐射带动学校教育特色发展，学校与学校、学校与行业、学校与企业相互融合，优势互补、资源共享，集团化办学优势日益凸显。登封少林中等专业学校是郑州少林塔沟教育集团下辖的6个教学单位之一，属于集团化办学。登封少林鹅坡武术中等专业学校办校以来，先后创设了美真宜商贸有限公司、禅武大酒店有限公司、郑州禅居置业有限公司等企业，服务市民生活，为学生创造实习就业机会，并组建少林鹅坡教育集团，追求规模经营，跨越发展。登封少林弘武中等专业学校，创办足球学校，是登封少林延鲁武术学校教育集团成员，还是禅宗少林音乐大典合作单位，近几年办学规模和效益快速提升。</w:t>
      </w:r>
    </w:p>
    <w:p>
      <w:pPr>
        <w:widowControl/>
        <w:shd w:val="clear" w:color="auto" w:fill="FFFFFF"/>
        <w:spacing w:line="590" w:lineRule="exact"/>
        <w:jc w:val="center"/>
        <w:rPr>
          <w:rFonts w:ascii="黑体" w:hAnsi="黑体" w:eastAsia="黑体" w:cs="仿宋"/>
          <w:b/>
          <w:color w:val="000000"/>
          <w:kern w:val="0"/>
          <w:sz w:val="32"/>
          <w:szCs w:val="32"/>
        </w:rPr>
      </w:pPr>
      <w:r>
        <w:rPr>
          <w:rFonts w:hint="eastAsia" w:ascii="黑体" w:hAnsi="黑体" w:eastAsia="黑体" w:cs="楷体"/>
          <w:b/>
          <w:color w:val="000000"/>
          <w:kern w:val="0"/>
          <w:sz w:val="32"/>
          <w:szCs w:val="32"/>
        </w:rPr>
        <w:t>第五部分  社会贡献</w:t>
      </w:r>
    </w:p>
    <w:p>
      <w:pPr>
        <w:widowControl/>
        <w:shd w:val="clear" w:color="auto" w:fill="FFFFFF"/>
        <w:spacing w:line="590" w:lineRule="exact"/>
        <w:ind w:firstLine="643" w:firstLineChars="200"/>
        <w:jc w:val="left"/>
        <w:rPr>
          <w:rFonts w:ascii="仿宋" w:hAnsi="仿宋" w:eastAsia="仿宋" w:cs="仿宋"/>
          <w:b/>
          <w:bCs/>
          <w:color w:val="000000"/>
          <w:kern w:val="0"/>
          <w:sz w:val="32"/>
          <w:szCs w:val="32"/>
        </w:rPr>
      </w:pPr>
      <w:r>
        <w:rPr>
          <w:rFonts w:hint="eastAsia" w:ascii="楷体" w:hAnsi="楷体" w:eastAsia="楷体" w:cs="仿宋"/>
          <w:b/>
          <w:color w:val="000000"/>
          <w:kern w:val="0"/>
          <w:sz w:val="32"/>
          <w:szCs w:val="32"/>
        </w:rPr>
        <w:t>5.1  技术技能人才培养</w:t>
      </w:r>
    </w:p>
    <w:p>
      <w:pPr>
        <w:pStyle w:val="15"/>
        <w:widowControl w:val="0"/>
        <w:spacing w:line="590" w:lineRule="exact"/>
        <w:ind w:firstLine="640" w:firstLineChars="200"/>
        <w:jc w:val="both"/>
        <w:rPr>
          <w:rFonts w:ascii="仿宋" w:hAnsi="仿宋" w:eastAsia="仿宋"/>
          <w:b/>
          <w:bCs/>
          <w:sz w:val="32"/>
          <w:szCs w:val="32"/>
        </w:rPr>
      </w:pPr>
      <w:r>
        <w:rPr>
          <w:rFonts w:hint="eastAsia" w:ascii="仿宋" w:hAnsi="仿宋" w:eastAsia="仿宋"/>
          <w:sz w:val="32"/>
          <w:szCs w:val="32"/>
        </w:rPr>
        <w:t>认真落实“以服务产业发展为宗旨，以促进就业为导向”的办学思想，立足登封经济社会发展战略，着眼学生长远发展，着力培养学生综合职业能力和就业竞争力，强化专业技能人才培养。各校积极开展订单式人才培养，为产业建设和企业发展提供人才支撑，得到社会充分肯定。</w:t>
      </w:r>
      <w:r>
        <w:rPr>
          <w:rFonts w:hint="eastAsia" w:ascii="仿宋" w:hAnsi="仿宋" w:eastAsia="仿宋" w:cs="仿宋"/>
          <w:color w:val="000000" w:themeColor="text1"/>
          <w:sz w:val="32"/>
          <w:szCs w:val="32"/>
        </w:rPr>
        <w:t>2020年,登封市中等专业学校培养学历生436人。</w:t>
      </w:r>
      <w:r>
        <w:rPr>
          <w:rFonts w:hint="eastAsia" w:ascii="仿宋" w:hAnsi="仿宋" w:eastAsia="仿宋" w:cs="仿宋"/>
          <w:bCs/>
          <w:color w:val="000000" w:themeColor="text1"/>
          <w:sz w:val="32"/>
          <w:szCs w:val="32"/>
        </w:rPr>
        <w:t>社会短期技术培训3500人次，其中有862人，属于</w:t>
      </w:r>
      <w:r>
        <w:rPr>
          <w:rFonts w:hint="eastAsia" w:ascii="仿宋" w:hAnsi="仿宋" w:eastAsia="仿宋" w:cs="仿宋"/>
          <w:color w:val="000000" w:themeColor="text1"/>
          <w:sz w:val="32"/>
          <w:szCs w:val="32"/>
        </w:rPr>
        <w:t>学校承办完成的郑州市2020年补贴性职业技能提升培训人数</w:t>
      </w:r>
      <w:r>
        <w:rPr>
          <w:rFonts w:hint="eastAsia" w:ascii="仿宋" w:hAnsi="仿宋" w:eastAsia="仿宋" w:cs="仿宋"/>
          <w:bCs/>
          <w:color w:val="000000"/>
          <w:sz w:val="32"/>
          <w:szCs w:val="32"/>
        </w:rPr>
        <w:t>。</w:t>
      </w:r>
      <w:r>
        <w:rPr>
          <w:rFonts w:hint="eastAsia" w:ascii="仿宋_GB2312" w:hAnsi="新宋体" w:eastAsia="仿宋_GB2312" w:cs="仿宋_GB2312"/>
          <w:sz w:val="32"/>
          <w:szCs w:val="32"/>
        </w:rPr>
        <w:t>2020年，登封少林中等专业学校共参加各类比赛44项，夺得金牌119枚，银牌98枚，铜牌150枚。其中散打项目参加了河南省武术散打锦标赛，夺得34金34银67铜；</w:t>
      </w:r>
      <w:r>
        <w:rPr>
          <w:rFonts w:hint="eastAsia" w:ascii="仿宋_GB2312" w:hAnsi="新宋体" w:eastAsia="仿宋_GB2312" w:cs="仿宋_GB2312"/>
          <w:bCs/>
          <w:sz w:val="32"/>
          <w:szCs w:val="32"/>
        </w:rPr>
        <w:t>套路项目</w:t>
      </w:r>
      <w:r>
        <w:rPr>
          <w:rFonts w:hint="eastAsia" w:ascii="仿宋_GB2312" w:hAnsi="新宋体" w:eastAsia="仿宋_GB2312" w:cs="仿宋_GB2312"/>
          <w:sz w:val="32"/>
          <w:szCs w:val="32"/>
        </w:rPr>
        <w:t>参加了河南省第四届传统武术大赛、河南省传统武术套路锦标赛、河南省武术套路锦标赛，夺得62金47银47铜；</w:t>
      </w:r>
      <w:r>
        <w:rPr>
          <w:rFonts w:hint="eastAsia" w:ascii="仿宋_GB2312" w:hAnsi="新宋体" w:eastAsia="仿宋_GB2312" w:cs="仿宋_GB2312"/>
          <w:bCs/>
          <w:sz w:val="32"/>
          <w:szCs w:val="32"/>
        </w:rPr>
        <w:t>拳击项目</w:t>
      </w:r>
      <w:r>
        <w:rPr>
          <w:rFonts w:hint="eastAsia" w:ascii="仿宋_GB2312" w:hAnsi="新宋体" w:eastAsia="仿宋_GB2312" w:cs="仿宋_GB2312"/>
          <w:sz w:val="32"/>
          <w:szCs w:val="32"/>
        </w:rPr>
        <w:t>参加了河南省青少年拳击锦标赛、辽宁省拳击锦标赛，夺得15金11银22铜；</w:t>
      </w:r>
      <w:r>
        <w:rPr>
          <w:rFonts w:hint="eastAsia" w:ascii="仿宋_GB2312" w:hAnsi="新宋体" w:eastAsia="仿宋_GB2312" w:cs="仿宋_GB2312"/>
          <w:bCs/>
          <w:sz w:val="32"/>
          <w:szCs w:val="32"/>
        </w:rPr>
        <w:t>跆拳道项目</w:t>
      </w:r>
      <w:r>
        <w:rPr>
          <w:rFonts w:hint="eastAsia" w:ascii="仿宋_GB2312" w:hAnsi="新宋体" w:eastAsia="仿宋_GB2312" w:cs="仿宋_GB2312"/>
          <w:sz w:val="32"/>
          <w:szCs w:val="32"/>
        </w:rPr>
        <w:t>参加了河南省跆拳道锦标赛，夺得6金6银11铜。</w:t>
      </w:r>
    </w:p>
    <w:p>
      <w:pPr>
        <w:widowControl/>
        <w:spacing w:line="590" w:lineRule="exact"/>
        <w:ind w:firstLine="643" w:firstLineChars="200"/>
        <w:rPr>
          <w:rFonts w:ascii="仿宋" w:hAnsi="仿宋" w:eastAsia="仿宋" w:cs="宋体"/>
          <w:b/>
          <w:bCs/>
          <w:color w:val="333333"/>
          <w:kern w:val="0"/>
          <w:sz w:val="32"/>
          <w:szCs w:val="32"/>
        </w:rPr>
      </w:pPr>
      <w:r>
        <w:rPr>
          <w:rFonts w:hint="eastAsia" w:ascii="楷体" w:hAnsi="楷体" w:eastAsia="楷体" w:cs="宋体"/>
          <w:b/>
          <w:bCs/>
          <w:color w:val="333333"/>
          <w:kern w:val="0"/>
          <w:sz w:val="32"/>
          <w:szCs w:val="32"/>
        </w:rPr>
        <w:t>5.2  社会服务</w:t>
      </w:r>
    </w:p>
    <w:p>
      <w:pPr>
        <w:spacing w:line="590" w:lineRule="exact"/>
        <w:ind w:firstLine="640" w:firstLineChars="200"/>
        <w:rPr>
          <w:rFonts w:ascii="仿宋" w:hAnsi="仿宋" w:eastAsia="仿宋"/>
          <w:sz w:val="32"/>
          <w:szCs w:val="32"/>
        </w:rPr>
      </w:pPr>
      <w:r>
        <w:rPr>
          <w:rFonts w:hint="eastAsia" w:ascii="仿宋" w:hAnsi="仿宋" w:eastAsia="仿宋" w:cs="仿宋"/>
          <w:color w:val="000000" w:themeColor="text1"/>
          <w:sz w:val="32"/>
          <w:szCs w:val="32"/>
        </w:rPr>
        <w:t>2020年初，面对突如其来的新型冠状病毒肺炎疫情，登封中专人立即投入到了这场没有硝烟的疫情防控阻击战中。学校主动参与了登密线S317卡口、登封市禾香街北卡口和卢店镇长城小区卡口值守工作，工作中老师们齐心协力、众志成城，高标准地完成了各卡口值守任务</w:t>
      </w:r>
      <w:r>
        <w:rPr>
          <w:rFonts w:hint="eastAsia" w:ascii="仿宋" w:hAnsi="仿宋" w:eastAsia="仿宋"/>
          <w:sz w:val="32"/>
          <w:szCs w:val="32"/>
        </w:rPr>
        <w:t>。</w:t>
      </w:r>
      <w:r>
        <w:rPr>
          <w:rFonts w:hint="eastAsia" w:ascii="仿宋_GB2312" w:hAnsi="新宋体" w:eastAsia="仿宋_GB2312" w:cs="Times New Roman"/>
          <w:sz w:val="32"/>
          <w:szCs w:val="32"/>
        </w:rPr>
        <w:t>2018年以来，</w:t>
      </w:r>
      <w:r>
        <w:rPr>
          <w:rFonts w:hint="eastAsia" w:ascii="仿宋" w:hAnsi="仿宋" w:eastAsia="仿宋"/>
          <w:sz w:val="32"/>
          <w:szCs w:val="32"/>
        </w:rPr>
        <w:t>登封市少林中等专业学校</w:t>
      </w:r>
      <w:r>
        <w:rPr>
          <w:rFonts w:hint="eastAsia" w:ascii="仿宋_GB2312" w:hAnsi="新宋体" w:eastAsia="仿宋_GB2312" w:cs="Times New Roman"/>
          <w:sz w:val="32"/>
          <w:szCs w:val="32"/>
        </w:rPr>
        <w:t>有2000余名已毕业的学生参加了海军陆战队，南海舰队“蛟龙突击队”、武警北京总队“雪豹突击队”、38集团军特战旅、42集团军特战旅，成为了光荣的解放军战士。</w:t>
      </w:r>
      <w:r>
        <w:rPr>
          <w:rFonts w:hint="eastAsia" w:ascii="仿宋_GB2312" w:hAnsi="仿宋_GB2312" w:eastAsia="仿宋_GB2312" w:cs="仿宋_GB2312"/>
          <w:sz w:val="32"/>
          <w:szCs w:val="32"/>
        </w:rPr>
        <w:t>2020年，</w:t>
      </w:r>
      <w:r>
        <w:rPr>
          <w:rFonts w:hint="eastAsia" w:ascii="仿宋" w:hAnsi="仿宋" w:eastAsia="仿宋"/>
          <w:sz w:val="32"/>
          <w:szCs w:val="32"/>
        </w:rPr>
        <w:t>登封市少林鹅坡武术中等专业学校</w:t>
      </w:r>
      <w:r>
        <w:rPr>
          <w:rFonts w:hint="eastAsia" w:ascii="仿宋_GB2312" w:hAnsi="仿宋_GB2312" w:eastAsia="仿宋_GB2312" w:cs="仿宋_GB2312"/>
          <w:sz w:val="32"/>
          <w:szCs w:val="32"/>
        </w:rPr>
        <w:t>走进登封市及有关乡镇区街道、学校、企事业单位等30所社会学校，为在校学生培训武术，推动武术进校园工作，为参加中招的考生辅导中招必考内容少林拳。</w:t>
      </w:r>
    </w:p>
    <w:p>
      <w:pPr>
        <w:widowControl/>
        <w:spacing w:line="590" w:lineRule="exact"/>
        <w:ind w:firstLine="643" w:firstLineChars="200"/>
        <w:rPr>
          <w:rFonts w:ascii="楷体" w:hAnsi="楷体" w:eastAsia="楷体"/>
          <w:b/>
          <w:bCs/>
          <w:sz w:val="32"/>
          <w:szCs w:val="32"/>
        </w:rPr>
      </w:pPr>
      <w:r>
        <w:rPr>
          <w:rFonts w:hint="eastAsia" w:ascii="楷体" w:hAnsi="楷体" w:eastAsia="楷体"/>
          <w:b/>
          <w:bCs/>
          <w:sz w:val="32"/>
          <w:szCs w:val="32"/>
        </w:rPr>
        <w:t>5.3  对口支援</w:t>
      </w:r>
    </w:p>
    <w:p>
      <w:pPr>
        <w:widowControl/>
        <w:spacing w:line="590" w:lineRule="exact"/>
        <w:ind w:firstLine="640" w:firstLineChars="200"/>
        <w:rPr>
          <w:rFonts w:ascii="仿宋" w:hAnsi="仿宋" w:eastAsia="仿宋" w:cs="仿宋"/>
          <w:bCs/>
          <w:color w:val="333333"/>
          <w:kern w:val="0"/>
          <w:sz w:val="32"/>
          <w:szCs w:val="32"/>
        </w:rPr>
      </w:pPr>
      <w:r>
        <w:rPr>
          <w:rFonts w:hint="eastAsia" w:ascii="仿宋" w:hAnsi="仿宋" w:eastAsia="仿宋" w:cs="仿宋"/>
          <w:color w:val="000000" w:themeColor="text1"/>
          <w:kern w:val="0"/>
          <w:sz w:val="32"/>
          <w:szCs w:val="32"/>
        </w:rPr>
        <w:t>2020年是我国全面建成小康社会的收官之年，登封市中等专业学校先后派李锋刚、李少辉、崔银学等多名教师参与各级政府局委组织的职业技术培训、新型农民培训和脱贫就业培训，直接培训学员2000余人次，涉及建档立卡户186户，有力促进贫困人口就业创业能力，增强了脱贫致富的内生动力，为全市脱贫攻坚工作做出了应有的贡献。</w:t>
      </w:r>
      <w:r>
        <w:rPr>
          <w:rFonts w:hint="eastAsia" w:ascii="仿宋" w:hAnsi="仿宋" w:eastAsia="仿宋"/>
          <w:sz w:val="32"/>
          <w:szCs w:val="32"/>
        </w:rPr>
        <w:t>登封市少林鹅坡武术中等专业学校响应党的号召，</w:t>
      </w:r>
      <w:r>
        <w:rPr>
          <w:rFonts w:hint="eastAsia" w:ascii="仿宋_GB2312" w:hAnsi="仿宋_GB2312" w:eastAsia="仿宋_GB2312" w:cs="仿宋_GB2312"/>
          <w:sz w:val="32"/>
          <w:szCs w:val="32"/>
        </w:rPr>
        <w:t>学校先后五次向登封市疫情防控中心、教育局、嵩阳办事处、东华镇骆驼崖村等单位，捐赠口罩、84消毒液、酒精以及食品等物质达20余万元，表达了鹅坡中专对登封疫情防控工作的支持。少林小龙武术中等专业学校学校</w:t>
      </w:r>
      <w:r>
        <w:rPr>
          <w:rFonts w:hint="eastAsia" w:ascii="仿宋" w:hAnsi="仿宋" w:eastAsia="仿宋" w:cs="仿宋"/>
          <w:sz w:val="32"/>
          <w:szCs w:val="32"/>
        </w:rPr>
        <w:t>在疫情防控期间，踊跃向社会各单位分别捐赠口罩30000个、医用酒精1050斤、医用消毒液100多斤、防护服40套、帐篷20个等防疫物资；8月13日向大金店镇书堂沟村饮水工程爱心捐赠322200元，解决了1800多口父老乡亲的生活用水问题，董事长陈同山同志和校长陈同川同志双双获得书堂沟村两委授予的“新乡贤”荣誉称号。</w:t>
      </w:r>
    </w:p>
    <w:p>
      <w:pPr>
        <w:widowControl/>
        <w:spacing w:line="590" w:lineRule="exact"/>
        <w:jc w:val="center"/>
        <w:rPr>
          <w:rFonts w:ascii="黑体" w:hAnsi="黑体" w:eastAsia="黑体" w:cs="宋体"/>
          <w:b/>
          <w:color w:val="333333"/>
          <w:kern w:val="0"/>
          <w:sz w:val="32"/>
          <w:szCs w:val="32"/>
        </w:rPr>
      </w:pPr>
      <w:r>
        <w:rPr>
          <w:rFonts w:hint="eastAsia" w:ascii="黑体" w:hAnsi="黑体" w:eastAsia="黑体" w:cs="宋体"/>
          <w:b/>
          <w:color w:val="333333"/>
          <w:kern w:val="0"/>
          <w:sz w:val="32"/>
          <w:szCs w:val="32"/>
        </w:rPr>
        <w:t xml:space="preserve">第六部分  </w:t>
      </w:r>
      <w:r>
        <w:rPr>
          <w:rFonts w:hint="eastAsia" w:ascii="黑体" w:hAnsi="黑体" w:eastAsia="黑体" w:cs="楷体"/>
          <w:b/>
          <w:color w:val="000000"/>
          <w:kern w:val="0"/>
          <w:sz w:val="32"/>
          <w:szCs w:val="32"/>
        </w:rPr>
        <w:t>政府履责</w:t>
      </w:r>
    </w:p>
    <w:p>
      <w:pPr>
        <w:widowControl/>
        <w:spacing w:line="590" w:lineRule="exact"/>
        <w:ind w:firstLine="640"/>
        <w:jc w:val="left"/>
        <w:rPr>
          <w:rFonts w:ascii="仿宋" w:hAnsi="仿宋" w:eastAsia="仿宋" w:cs="宋体"/>
          <w:b/>
          <w:color w:val="333333"/>
          <w:kern w:val="0"/>
          <w:sz w:val="32"/>
          <w:szCs w:val="32"/>
        </w:rPr>
      </w:pPr>
      <w:r>
        <w:rPr>
          <w:rFonts w:hint="eastAsia" w:ascii="楷体" w:hAnsi="楷体" w:eastAsia="楷体" w:cs="宋体"/>
          <w:b/>
          <w:color w:val="333333"/>
          <w:kern w:val="0"/>
          <w:sz w:val="32"/>
          <w:szCs w:val="32"/>
        </w:rPr>
        <w:t>6.1  经费</w:t>
      </w:r>
    </w:p>
    <w:p>
      <w:pPr>
        <w:widowControl/>
        <w:spacing w:line="590" w:lineRule="exact"/>
        <w:ind w:firstLine="640"/>
        <w:jc w:val="left"/>
        <w:rPr>
          <w:rFonts w:ascii="仿宋" w:hAnsi="仿宋" w:eastAsia="仿宋"/>
          <w:sz w:val="32"/>
          <w:szCs w:val="32"/>
        </w:rPr>
      </w:pPr>
      <w:r>
        <w:rPr>
          <w:rFonts w:hint="eastAsia" w:ascii="仿宋" w:hAnsi="仿宋" w:eastAsia="仿宋"/>
          <w:sz w:val="32"/>
          <w:szCs w:val="32"/>
        </w:rPr>
        <w:t>认真落实上级经费政策，严格执行中职学校经费预算管理制度，设立职业教育专项经费。职业中专免学费1200元/生，普通中专免学费1700元/生；生均公用经费1300元/生。2020年登封市中等职业学校免学费29319人次，1910.61万元；国家助学金1605人次，160.5万元；国家奖学金15人，9万元；登封市建档立卡学生生活保障费441人次，23.26万元。</w:t>
      </w:r>
    </w:p>
    <w:p>
      <w:pPr>
        <w:widowControl/>
        <w:spacing w:line="590" w:lineRule="exact"/>
        <w:ind w:firstLine="643" w:firstLineChars="200"/>
        <w:jc w:val="left"/>
        <w:rPr>
          <w:rFonts w:ascii="仿宋" w:hAnsi="仿宋" w:eastAsia="仿宋" w:cs="宋体"/>
          <w:b/>
          <w:bCs/>
          <w:color w:val="333333"/>
          <w:kern w:val="0"/>
          <w:sz w:val="32"/>
          <w:szCs w:val="32"/>
        </w:rPr>
      </w:pPr>
      <w:r>
        <w:rPr>
          <w:rFonts w:hint="eastAsia" w:ascii="楷体" w:hAnsi="楷体" w:eastAsia="楷体" w:cs="宋体"/>
          <w:b/>
          <w:bCs/>
          <w:color w:val="333333"/>
          <w:kern w:val="0"/>
          <w:sz w:val="32"/>
          <w:szCs w:val="32"/>
        </w:rPr>
        <w:t>6.2  政策措施</w:t>
      </w:r>
    </w:p>
    <w:p>
      <w:pPr>
        <w:widowControl/>
        <w:spacing w:line="590" w:lineRule="exact"/>
        <w:ind w:firstLine="640" w:firstLineChars="200"/>
        <w:jc w:val="left"/>
        <w:rPr>
          <w:rFonts w:ascii="黑体" w:hAnsi="黑体" w:eastAsia="黑体" w:cs="楷体"/>
          <w:b/>
          <w:color w:val="000000"/>
          <w:kern w:val="0"/>
          <w:sz w:val="32"/>
          <w:szCs w:val="32"/>
        </w:rPr>
      </w:pPr>
      <w:r>
        <w:rPr>
          <w:rFonts w:hint="eastAsia" w:ascii="仿宋" w:hAnsi="仿宋" w:eastAsia="仿宋"/>
          <w:sz w:val="32"/>
          <w:szCs w:val="32"/>
        </w:rPr>
        <w:t>2016年我市出台了《登封市人民政府关于加快发展现代职业教育的意见》，把发展职业教育列入了登封市“十三五”规划，加强了职业教育目标管理、教育督导等工作。2019年9月登封市召开教育体育工作大会，制定《登封市教育体育高质量发展三年行动计划》。市教育体育局专门成立职业学校建设工作组，实施登封市中等专业学校建设工程。深入开展民办武术学校专项治理，严格民办学校收费制度，积极推进和完善中职学段独立运行机制。</w:t>
      </w:r>
    </w:p>
    <w:p>
      <w:pPr>
        <w:widowControl/>
        <w:shd w:val="clear" w:color="auto" w:fill="FFFFFF"/>
        <w:spacing w:line="590" w:lineRule="exact"/>
        <w:jc w:val="center"/>
        <w:rPr>
          <w:rFonts w:ascii="黑体" w:hAnsi="黑体" w:eastAsia="黑体" w:cs="仿宋"/>
          <w:color w:val="000000"/>
          <w:kern w:val="0"/>
          <w:sz w:val="32"/>
          <w:szCs w:val="32"/>
        </w:rPr>
      </w:pPr>
      <w:r>
        <w:rPr>
          <w:rFonts w:hint="eastAsia" w:ascii="黑体" w:hAnsi="黑体" w:eastAsia="黑体" w:cs="楷体"/>
          <w:b/>
          <w:color w:val="000000"/>
          <w:kern w:val="0"/>
          <w:sz w:val="32"/>
          <w:szCs w:val="32"/>
        </w:rPr>
        <w:t>第七部分  特色创新</w:t>
      </w:r>
    </w:p>
    <w:p>
      <w:pPr>
        <w:widowControl/>
        <w:shd w:val="clear" w:color="auto" w:fill="FFFFFF"/>
        <w:spacing w:line="590" w:lineRule="exact"/>
        <w:ind w:firstLine="640" w:firstLineChars="200"/>
        <w:rPr>
          <w:rFonts w:ascii="仿宋" w:hAnsi="仿宋" w:eastAsia="仿宋" w:cs="仿宋"/>
          <w:bCs/>
          <w:color w:val="000000"/>
          <w:kern w:val="0"/>
          <w:sz w:val="32"/>
          <w:szCs w:val="32"/>
        </w:rPr>
      </w:pPr>
      <w:r>
        <w:rPr>
          <w:rFonts w:hint="eastAsia" w:ascii="仿宋" w:hAnsi="仿宋" w:eastAsia="仿宋" w:cs="仿宋"/>
          <w:bCs/>
          <w:color w:val="000000"/>
          <w:kern w:val="0"/>
          <w:sz w:val="32"/>
          <w:szCs w:val="32"/>
        </w:rPr>
        <w:t>为了促进民办武术学校高质量发展，登封市委政府开展武术学校专项治理，规范办学行为，提升办学质量。登封中职学校也呈现出了错峰定位，特色发展的良好局面。登封市中等专业学校立足服务登封经济社会发展能力不断增强，登封少林中等专业学校、登封市鹅坡武术中等专业学校在武术竞技、教育教学、综合管理等方面特色明显，成效显著；登封弘武武术中等专业学校、少林小龙武术中等专业学校在专业建设、专业拓展、适应学生全方位就业等方面积极探索，大胆实践，渐成优势。</w:t>
      </w:r>
    </w:p>
    <w:p>
      <w:pPr>
        <w:widowControl/>
        <w:shd w:val="clear" w:color="auto" w:fill="FFFFFF"/>
        <w:spacing w:line="590" w:lineRule="exact"/>
        <w:rPr>
          <w:rFonts w:cs="仿宋" w:asciiTheme="majorEastAsia" w:hAnsiTheme="majorEastAsia" w:eastAsiaTheme="majorEastAsia"/>
          <w:b/>
          <w:bCs/>
          <w:color w:val="000000"/>
          <w:kern w:val="0"/>
          <w:sz w:val="44"/>
          <w:szCs w:val="44"/>
        </w:rPr>
      </w:pPr>
    </w:p>
    <w:p>
      <w:pPr>
        <w:widowControl/>
        <w:shd w:val="clear" w:color="auto" w:fill="FFFFFF"/>
        <w:spacing w:line="590" w:lineRule="exact"/>
        <w:rPr>
          <w:rFonts w:cs="仿宋" w:asciiTheme="majorEastAsia" w:hAnsiTheme="majorEastAsia" w:eastAsiaTheme="majorEastAsia"/>
          <w:b/>
          <w:bCs/>
          <w:color w:val="000000"/>
          <w:kern w:val="0"/>
          <w:sz w:val="36"/>
          <w:szCs w:val="36"/>
        </w:rPr>
      </w:pPr>
      <w:r>
        <w:rPr>
          <w:rFonts w:hint="eastAsia" w:cs="仿宋" w:asciiTheme="majorEastAsia" w:hAnsiTheme="majorEastAsia" w:eastAsiaTheme="majorEastAsia"/>
          <w:b/>
          <w:bCs/>
          <w:color w:val="000000"/>
          <w:kern w:val="0"/>
          <w:sz w:val="36"/>
          <w:szCs w:val="36"/>
        </w:rPr>
        <w:t>案例一</w:t>
      </w:r>
    </w:p>
    <w:p>
      <w:pPr>
        <w:spacing w:line="590" w:lineRule="exact"/>
        <w:jc w:val="center"/>
        <w:rPr>
          <w:rFonts w:asciiTheme="majorEastAsia" w:hAnsiTheme="majorEastAsia" w:eastAsiaTheme="majorEastAsia" w:cstheme="majorEastAsia"/>
          <w:b/>
          <w:color w:val="000000" w:themeColor="text1"/>
          <w:sz w:val="36"/>
          <w:szCs w:val="36"/>
        </w:rPr>
      </w:pPr>
      <w:r>
        <w:rPr>
          <w:rFonts w:hint="eastAsia" w:asciiTheme="majorEastAsia" w:hAnsiTheme="majorEastAsia" w:eastAsiaTheme="majorEastAsia" w:cstheme="majorEastAsia"/>
          <w:b/>
          <w:color w:val="000000" w:themeColor="text1"/>
          <w:sz w:val="36"/>
          <w:szCs w:val="36"/>
        </w:rPr>
        <w:t>强化技能提升  打造“匠心”校园</w:t>
      </w:r>
    </w:p>
    <w:p>
      <w:pPr>
        <w:spacing w:line="590" w:lineRule="exact"/>
        <w:jc w:val="center"/>
        <w:rPr>
          <w:rFonts w:asciiTheme="minorEastAsia" w:hAnsiTheme="minorEastAsia" w:cstheme="majorEastAsia"/>
          <w:color w:val="000000" w:themeColor="text1"/>
          <w:sz w:val="32"/>
          <w:szCs w:val="32"/>
        </w:rPr>
      </w:pPr>
      <w:r>
        <w:rPr>
          <w:rFonts w:hint="eastAsia" w:asciiTheme="minorEastAsia" w:hAnsiTheme="minorEastAsia" w:cstheme="majorEastAsia"/>
          <w:color w:val="000000" w:themeColor="text1"/>
          <w:sz w:val="32"/>
          <w:szCs w:val="32"/>
        </w:rPr>
        <w:t>登封市中等专业学校</w:t>
      </w:r>
    </w:p>
    <w:p>
      <w:pPr>
        <w:spacing w:line="590" w:lineRule="exact"/>
        <w:ind w:firstLine="633" w:firstLineChars="198"/>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德以修身，技以立业。为进一步弘扬“工匠精神”，提升学生专业技能水平，打造“匠心”校园，培养一批技术精湛、品行高尚、富有创新创造精神的技术技能人才，在学校党总支的正确领导下和各科室的配合下，教务科组织各专业部开展以下活动：</w:t>
      </w:r>
    </w:p>
    <w:p>
      <w:pPr>
        <w:pStyle w:val="13"/>
        <w:numPr>
          <w:ilvl w:val="0"/>
          <w:numId w:val="1"/>
        </w:numPr>
        <w:spacing w:line="590" w:lineRule="exact"/>
        <w:ind w:firstLineChars="0"/>
        <w:jc w:val="left"/>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狠抓常规技能训练，练就扎实专业技能基础</w:t>
      </w:r>
    </w:p>
    <w:p>
      <w:pPr>
        <w:pStyle w:val="13"/>
        <w:spacing w:line="590" w:lineRule="exact"/>
        <w:ind w:firstLine="64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专业即职业，职业即专业，对于每一个专业来讲，学生技能水平的高低体现了学校教育教学的效果，作为学校常规化教学管理的专业技能训练又是重中之重，每一学期开始，各个专业部根据专业特点制定本专业技能训练方案，合理规划技能训练的科目和每一个时间段的任务，以结果为导向，在期中和期末组织学生进行技能考核，检验学生技能掌握水平。同时，教务科及专业部定期对各科目技能训练情况进行跟踪与检查，确保技能训练按规定要求圆满完成。</w:t>
      </w:r>
    </w:p>
    <w:p>
      <w:pPr>
        <w:spacing w:line="590" w:lineRule="exact"/>
        <w:ind w:firstLine="633" w:firstLineChars="198"/>
        <w:rPr>
          <w:rFonts w:ascii="黑体" w:hAnsi="黑体" w:eastAsia="黑体" w:cs="仿宋"/>
          <w:color w:val="000000" w:themeColor="text1"/>
          <w:sz w:val="32"/>
          <w:szCs w:val="32"/>
        </w:rPr>
      </w:pPr>
      <w:r>
        <w:rPr>
          <w:rFonts w:hint="eastAsia" w:ascii="黑体" w:hAnsi="黑体" w:eastAsia="黑体" w:cs="仿宋"/>
          <w:color w:val="000000" w:themeColor="text1"/>
          <w:sz w:val="32"/>
          <w:szCs w:val="32"/>
        </w:rPr>
        <w:t>二、以省市技能竞赛为抓手，促技能水平提升</w:t>
      </w:r>
    </w:p>
    <w:p>
      <w:pPr>
        <w:spacing w:line="590" w:lineRule="exact"/>
        <w:ind w:firstLine="633" w:firstLineChars="198"/>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学校坚持“以赛促教、以赛促学、以赛促练、以赛促改、以赛促建”，进一步明确教学改革和创新的目标。通过职业技能竞赛，认真领会行业企业发展方向，认识到人才培养既包括培养学生具备良好的理论基础、较强的技术综合应用能力，又必须与未来的职业资格要求相结合，将这些思想和理念融入人才培养方案，使每个同学在受教育阶段都能感受到技能竞赛带来的引领效果。一年级入学开始，专业部会在新生班选择部分具有吃苦耐劳精神并对专业特别感兴趣的同学，着手进行技能训练方面的培养，通过以点带面，增强学生专业学习兴趣，营造良好的技能训练氛围。2020年度在郑州市专业技能大赛及河南省专业技能竞赛中，美术、机电、旅游专业分别荣获团体二等奖，计算机专业、学前教育专业获团体三等奖；其中，烹饪专业杨子艳同学获得中式面点项目河南省二等奖，张帅龙同学获得冷拼雕刻项目河南省二等奖；旅游专业李文慧同学获郑州市中职学校职业技能大赛“中餐宴会摆台”项目二等奖；计算机专业安世昌同学获得郑州市中职学校职业技能大赛“动画制作”项目一等奖；机电专业张凯恒、申煜彬、马启超同学分别获得“数控铣工”、“数控车工”、“零部件测绘”项目二等奖，汽修专业程涡阳同学获得“汽车维修养护基本检测”项目二等奖，赵钰炜同学代表登封市参加郑州市第一届学生职业技能竞赛“茶艺师大赛”获郑州市第四名；许羿恒同学获河南省中等职业学校技能竞赛“汽车维修养护基本检测”项目三等奖；卢春晓同学代表学校参加中华优秀传统文化“国学经典诵读”项目获河南省一等奖；在河南省“文明风采大赛”中，李烨强同学获得“数学基础素养与应用”项目河南省一等奖，景榴洋等6名同学获得“我和我的祖国”歌曲竞赛项目河南省二等奖，刘晓娅等6名同学获得“模拟法庭”项目河南省三等奖，王佳音等6名学生荣获《中等职业学校学生公约》歌曲项目三等奖。</w:t>
      </w:r>
    </w:p>
    <w:p>
      <w:pPr>
        <w:spacing w:line="590" w:lineRule="exact"/>
        <w:ind w:firstLine="633" w:firstLineChars="198"/>
        <w:rPr>
          <w:rFonts w:ascii="黑体" w:hAnsi="黑体" w:eastAsia="黑体" w:cs="仿宋"/>
          <w:color w:val="000000" w:themeColor="text1"/>
          <w:sz w:val="32"/>
          <w:szCs w:val="32"/>
        </w:rPr>
      </w:pPr>
      <w:r>
        <w:rPr>
          <w:rFonts w:hint="eastAsia" w:ascii="仿宋" w:hAnsi="仿宋" w:eastAsia="仿宋" w:cs="仿宋"/>
          <w:color w:val="000000" w:themeColor="text1"/>
          <w:sz w:val="32"/>
          <w:szCs w:val="32"/>
        </w:rPr>
        <w:t>三</w:t>
      </w:r>
      <w:r>
        <w:rPr>
          <w:rFonts w:hint="eastAsia" w:ascii="黑体" w:hAnsi="黑体" w:eastAsia="黑体" w:cs="仿宋"/>
          <w:color w:val="000000" w:themeColor="text1"/>
          <w:sz w:val="32"/>
          <w:szCs w:val="32"/>
        </w:rPr>
        <w:t>、树立匠人观念，打造“匠心”校园</w:t>
      </w:r>
    </w:p>
    <w:p>
      <w:pPr>
        <w:spacing w:line="590" w:lineRule="exact"/>
        <w:rPr>
          <w:rFonts w:ascii="仿宋" w:hAnsi="仿宋" w:eastAsia="仿宋" w:cs="仿宋"/>
          <w:color w:val="000000" w:themeColor="text1"/>
          <w:sz w:val="32"/>
          <w:szCs w:val="32"/>
        </w:rPr>
      </w:pPr>
      <w:r>
        <w:rPr>
          <w:color w:val="000000" w:themeColor="text1"/>
        </w:rPr>
        <w:t xml:space="preserve">      </w:t>
      </w:r>
      <w:r>
        <w:rPr>
          <w:rFonts w:hint="eastAsia" w:ascii="仿宋" w:hAnsi="仿宋" w:eastAsia="仿宋" w:cs="仿宋"/>
          <w:color w:val="000000" w:themeColor="text1"/>
          <w:sz w:val="32"/>
          <w:szCs w:val="32"/>
        </w:rPr>
        <w:t>国务院总理</w:t>
      </w:r>
      <w:r>
        <w:fldChar w:fldCharType="begin"/>
      </w:r>
      <w:r>
        <w:instrText xml:space="preserve"> HYPERLINK "https://baike.so.com/doc/3553743-3737550.html" \t "https://baike.so.com/doc/_blank" </w:instrText>
      </w:r>
      <w:r>
        <w:fldChar w:fldCharType="separate"/>
      </w:r>
      <w:r>
        <w:rPr>
          <w:rStyle w:val="8"/>
          <w:rFonts w:hint="eastAsia" w:ascii="仿宋" w:hAnsi="仿宋" w:eastAsia="仿宋" w:cs="仿宋"/>
          <w:color w:val="000000" w:themeColor="text1"/>
          <w:sz w:val="32"/>
          <w:szCs w:val="32"/>
          <w:u w:val="none"/>
        </w:rPr>
        <w:t>李克强</w:t>
      </w:r>
      <w:r>
        <w:rPr>
          <w:rStyle w:val="8"/>
          <w:rFonts w:hint="eastAsia" w:ascii="仿宋" w:hAnsi="仿宋" w:eastAsia="仿宋" w:cs="仿宋"/>
          <w:color w:val="000000" w:themeColor="text1"/>
          <w:sz w:val="32"/>
          <w:szCs w:val="32"/>
          <w:u w:val="none"/>
        </w:rPr>
        <w:fldChar w:fldCharType="end"/>
      </w:r>
      <w:r>
        <w:rPr>
          <w:rFonts w:hint="eastAsia" w:ascii="仿宋" w:hAnsi="仿宋" w:eastAsia="仿宋" w:cs="仿宋"/>
          <w:color w:val="000000" w:themeColor="text1"/>
          <w:sz w:val="32"/>
          <w:szCs w:val="32"/>
        </w:rPr>
        <w:t>作</w:t>
      </w:r>
      <w:r>
        <w:fldChar w:fldCharType="begin"/>
      </w:r>
      <w:r>
        <w:instrText xml:space="preserve"> HYPERLINK "https://baike.so.com/doc/6202326-6415591.html" \t "https://baike.so.com/doc/_blank" </w:instrText>
      </w:r>
      <w:r>
        <w:fldChar w:fldCharType="separate"/>
      </w:r>
      <w:r>
        <w:rPr>
          <w:rStyle w:val="8"/>
          <w:rFonts w:hint="eastAsia" w:ascii="仿宋" w:hAnsi="仿宋" w:eastAsia="仿宋" w:cs="仿宋"/>
          <w:color w:val="000000" w:themeColor="text1"/>
          <w:sz w:val="32"/>
          <w:szCs w:val="32"/>
          <w:u w:val="none"/>
        </w:rPr>
        <w:t>政府工作报告</w:t>
      </w:r>
      <w:r>
        <w:rPr>
          <w:rStyle w:val="8"/>
          <w:rFonts w:hint="eastAsia" w:ascii="仿宋" w:hAnsi="仿宋" w:eastAsia="仿宋" w:cs="仿宋"/>
          <w:color w:val="000000" w:themeColor="text1"/>
          <w:sz w:val="32"/>
          <w:szCs w:val="32"/>
          <w:u w:val="none"/>
        </w:rPr>
        <w:fldChar w:fldCharType="end"/>
      </w:r>
      <w:r>
        <w:rPr>
          <w:rFonts w:hint="eastAsia" w:ascii="仿宋" w:hAnsi="仿宋" w:eastAsia="仿宋" w:cs="仿宋"/>
          <w:color w:val="000000" w:themeColor="text1"/>
          <w:sz w:val="32"/>
          <w:szCs w:val="32"/>
        </w:rPr>
        <w:t>时说，鼓励企业开展个性化定制、柔性化生产，培育精益求精的工匠精神，增品种、提品质、创品牌。而对于以培养中初级技能人才的中等职业学校来讲，如何与社会接轨、满足企业对人才的要求，成为学校思考和面对的问题，通过探索与实践，学校一方面以技能展示为平台，让学生通过充分展示自身专业训练实践中的作品，增强自信心，培养精益求精的精神；另一方面通过举办2020年校园百名技能能手活动，进一步激发学生学习专业技能的兴趣，营造校园练技能、强本领的学习氛围，最终通过活动与展示培养学生工匠精神，领会工匠精神的深刻内涵---精益求精、严谨、耐心、专注、敬业。</w:t>
      </w:r>
    </w:p>
    <w:p>
      <w:pPr>
        <w:widowControl/>
        <w:adjustRightInd w:val="0"/>
        <w:snapToGrid w:val="0"/>
        <w:spacing w:line="590" w:lineRule="exact"/>
        <w:ind w:left="319" w:leftChars="152" w:firstLine="320" w:firstLineChars="100"/>
        <w:jc w:val="left"/>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（一）技能展示</w:t>
      </w:r>
    </w:p>
    <w:p>
      <w:pPr>
        <w:spacing w:line="590" w:lineRule="exact"/>
        <w:ind w:firstLine="640" w:firstLineChars="20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为了安排布署登封市2020年招生推介工作，宣传展示登封中专的办学特色和技能教学成果，积极营造全社会关心支持职教改革与发展的良好氛围，6月12日上午，登封市2020年中招会议暨登封中专专业技能展示活动在告成校区隆重举行。</w:t>
      </w:r>
    </w:p>
    <w:p>
      <w:pPr>
        <w:pStyle w:val="6"/>
        <w:shd w:val="clear" w:color="auto" w:fill="FFFFFF"/>
        <w:spacing w:before="0" w:beforeAutospacing="0" w:after="0" w:afterAutospacing="0" w:line="590" w:lineRule="exact"/>
        <w:ind w:firstLine="640" w:firstLineChars="200"/>
        <w:jc w:val="both"/>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此次技能展示活动，在八个专业部的积极筹备下，共推出28个专业技能操作展示项目和226件学生作品成果展。登封市教育体育局党组书记李智鑫、班子成员弋桂娟、王学伟等领导，在校长王新华的陪同下走近技能主展区，依次察看了汽修专业的汽车美容、汽车涂装和发动机拆装与检测；机电专业展出的学生的铣工作品和车工作品；财会专业的点钞、反打传票、填制凭证；计算机专业的机器人智能控制WER能力挑战；美术专业的水粉、素描、工艺和素写；旅游专业的中餐宴会摆台、茶艺表演、咖啡制作和中式铺床；中餐烹饪专业的蛋糕裱花、面点制作、冷拼雕刻；最为壮观的是艺术专业的文艺汇演，可以说是节目纷呈，作品精良，所展示的节目令人心醉，给人以视觉和声觉上的文化盛宴；塔沟武校学生激情澎湃的武术表演，点燃了现场的热烈气氛，把整场技能展示活动拉到了高潮。学生娴熟灵活的技能实操及精致美观的展览作品，充分展现了中专学生勤学苦练、技精品端和中专教师博学善授、德技双馨的精神风采。</w:t>
      </w:r>
    </w:p>
    <w:p>
      <w:pPr>
        <w:spacing w:line="590" w:lineRule="exact"/>
        <w:ind w:firstLine="480" w:firstLineChars="150"/>
        <w:rPr>
          <w:rFonts w:ascii="仿宋" w:hAnsi="仿宋" w:eastAsia="仿宋" w:cs="仿宋"/>
          <w:color w:val="000000" w:themeColor="text1"/>
          <w:sz w:val="32"/>
          <w:szCs w:val="32"/>
        </w:rPr>
      </w:pPr>
      <w:r>
        <w:rPr>
          <w:rFonts w:hint="eastAsia" w:ascii="仿宋" w:hAnsi="仿宋" w:eastAsia="仿宋" w:cs="仿宋"/>
          <w:color w:val="000000" w:themeColor="text1"/>
          <w:sz w:val="32"/>
          <w:szCs w:val="32"/>
        </w:rPr>
        <w:t>（二）校园百名技能能手评选活动</w:t>
      </w:r>
    </w:p>
    <w:p>
      <w:pPr>
        <w:pStyle w:val="6"/>
        <w:shd w:val="clear" w:color="auto" w:fill="FFFFFF"/>
        <w:spacing w:before="0" w:beforeAutospacing="0" w:after="0" w:afterAutospacing="0" w:line="590" w:lineRule="exact"/>
        <w:ind w:firstLine="640" w:firstLineChars="200"/>
        <w:jc w:val="both"/>
        <w:rPr>
          <w:rFonts w:ascii="仿宋" w:hAnsi="仿宋" w:eastAsia="仿宋" w:cs="仿宋"/>
          <w:bCs/>
          <w:color w:val="000000"/>
          <w:sz w:val="32"/>
          <w:szCs w:val="32"/>
        </w:rPr>
      </w:pPr>
      <w:r>
        <w:rPr>
          <w:rFonts w:hint="eastAsia" w:ascii="仿宋" w:hAnsi="仿宋" w:eastAsia="仿宋" w:cs="仿宋"/>
          <w:color w:val="000000" w:themeColor="text1"/>
          <w:sz w:val="32"/>
          <w:szCs w:val="32"/>
        </w:rPr>
        <w:t>为深入贯彻习近平新时代中国特色社会主义思想，进一步弘扬工匠精神，厚植工匠文化，崇尚精益求精，激发学生践行“勤、精、新、和”中专精神，充分调动广大学生投身技能训练的积极性，提高专业技能水平，表彰技能优异的学生，在12月份，学校举办了2020年校园百名技能能手评选活动。此次活动分三个阶段：宣传发动、组织评选、集中表彰。通过宣传发动，进一步弘扬“工匠精神”，让强化技能训练的思想和精益求精的作风融入到学生日常学习和技能训练中去；各专业部根据分配名额遴选出技能水平较高的学生，在本专业部树立技术标杆，激发学生比学赶超的学习氛围；最后在学校层面加大对技能能手的表彰力度，积极引导更多的学生投入到专业技能训练中去，让校园充满“匠文化”的氛围，争取在更高水平竞赛和展示中取得更加优异的成绩。</w:t>
      </w:r>
    </w:p>
    <w:p>
      <w:pPr>
        <w:pStyle w:val="15"/>
        <w:widowControl w:val="0"/>
        <w:spacing w:line="590" w:lineRule="exact"/>
        <w:ind w:firstLine="723" w:firstLineChars="200"/>
        <w:jc w:val="both"/>
        <w:rPr>
          <w:rFonts w:ascii="仿宋_GB2312" w:hAnsi="新宋体" w:eastAsia="仿宋_GB2312"/>
          <w:sz w:val="36"/>
          <w:szCs w:val="36"/>
          <w:shd w:val="clear" w:color="auto" w:fill="FFFFFF"/>
        </w:rPr>
      </w:pPr>
      <w:bookmarkStart w:id="0" w:name="_Toc33544664"/>
      <w:r>
        <w:rPr>
          <w:rFonts w:hint="eastAsia" w:ascii="仿宋_GB2312" w:hAnsi="新宋体" w:eastAsia="仿宋_GB2312" w:cs="仿宋"/>
          <w:b/>
          <w:sz w:val="36"/>
          <w:szCs w:val="36"/>
        </w:rPr>
        <w:t>案例二：</w:t>
      </w:r>
      <w:bookmarkEnd w:id="0"/>
      <w:r>
        <w:rPr>
          <w:rFonts w:hint="eastAsia" w:ascii="仿宋_GB2312" w:hAnsi="新宋体" w:eastAsia="仿宋_GB2312" w:cs="仿宋"/>
          <w:b/>
          <w:sz w:val="36"/>
          <w:szCs w:val="36"/>
        </w:rPr>
        <w:t xml:space="preserve"> </w:t>
      </w:r>
      <w:r>
        <w:rPr>
          <w:rFonts w:hint="eastAsia" w:ascii="仿宋_GB2312" w:hAnsi="新宋体" w:eastAsia="仿宋_GB2312"/>
          <w:sz w:val="36"/>
          <w:szCs w:val="36"/>
          <w:shd w:val="clear" w:color="auto" w:fill="FFFFFF"/>
        </w:rPr>
        <w:t xml:space="preserve"> </w:t>
      </w:r>
    </w:p>
    <w:p>
      <w:pPr>
        <w:pStyle w:val="15"/>
        <w:widowControl w:val="0"/>
        <w:spacing w:line="590" w:lineRule="exact"/>
        <w:ind w:firstLine="707" w:firstLineChars="200"/>
        <w:jc w:val="center"/>
        <w:rPr>
          <w:rFonts w:ascii="仿宋_GB2312" w:hAnsi="新宋体" w:eastAsia="仿宋_GB2312" w:cs="仿宋_GB2312"/>
          <w:b/>
          <w:spacing w:val="-4"/>
          <w:sz w:val="36"/>
          <w:szCs w:val="36"/>
        </w:rPr>
      </w:pPr>
      <w:r>
        <w:rPr>
          <w:rFonts w:hint="eastAsia" w:ascii="仿宋_GB2312" w:hAnsi="新宋体" w:eastAsia="仿宋_GB2312" w:cs="仿宋_GB2312"/>
          <w:b/>
          <w:spacing w:val="-4"/>
          <w:sz w:val="36"/>
          <w:szCs w:val="36"/>
        </w:rPr>
        <w:t>抢抓跨界跨项选材和“武术+”项目</w:t>
      </w:r>
    </w:p>
    <w:p>
      <w:pPr>
        <w:pStyle w:val="15"/>
        <w:widowControl w:val="0"/>
        <w:spacing w:line="590" w:lineRule="exact"/>
        <w:ind w:firstLine="707" w:firstLineChars="200"/>
        <w:jc w:val="center"/>
        <w:rPr>
          <w:rFonts w:ascii="仿宋_GB2312" w:hAnsi="新宋体" w:eastAsia="仿宋_GB2312" w:cs="仿宋_GB2312"/>
          <w:b/>
          <w:spacing w:val="-4"/>
          <w:sz w:val="36"/>
          <w:szCs w:val="36"/>
        </w:rPr>
      </w:pPr>
      <w:r>
        <w:rPr>
          <w:rFonts w:hint="eastAsia" w:ascii="仿宋_GB2312" w:hAnsi="新宋体" w:eastAsia="仿宋_GB2312" w:cs="仿宋_GB2312"/>
          <w:b/>
          <w:spacing w:val="-4"/>
          <w:sz w:val="36"/>
          <w:szCs w:val="36"/>
        </w:rPr>
        <w:t>实现学校多元化发展</w:t>
      </w:r>
    </w:p>
    <w:p>
      <w:pPr>
        <w:pStyle w:val="15"/>
        <w:widowControl w:val="0"/>
        <w:spacing w:line="590" w:lineRule="exact"/>
        <w:ind w:firstLine="624" w:firstLineChars="200"/>
        <w:jc w:val="center"/>
        <w:rPr>
          <w:rFonts w:ascii="仿宋_GB2312" w:hAnsi="新宋体" w:eastAsia="仿宋_GB2312" w:cs="仿宋_GB2312"/>
          <w:spacing w:val="-4"/>
          <w:sz w:val="32"/>
          <w:szCs w:val="32"/>
        </w:rPr>
      </w:pPr>
      <w:r>
        <w:rPr>
          <w:rFonts w:hint="eastAsia" w:ascii="仿宋_GB2312" w:hAnsi="新宋体" w:eastAsia="仿宋_GB2312" w:cs="仿宋_GB2312"/>
          <w:spacing w:val="-4"/>
          <w:sz w:val="32"/>
          <w:szCs w:val="32"/>
        </w:rPr>
        <w:t>登封少林中等专业学校</w:t>
      </w:r>
    </w:p>
    <w:p>
      <w:pPr>
        <w:pStyle w:val="15"/>
        <w:widowControl w:val="0"/>
        <w:spacing w:line="590" w:lineRule="exact"/>
        <w:ind w:firstLine="624" w:firstLineChars="200"/>
        <w:jc w:val="both"/>
        <w:rPr>
          <w:rFonts w:ascii="仿宋_GB2312" w:hAnsi="新宋体" w:eastAsia="仿宋_GB2312" w:cs="仿宋_GB2312"/>
          <w:sz w:val="32"/>
          <w:szCs w:val="32"/>
        </w:rPr>
      </w:pPr>
      <w:r>
        <w:rPr>
          <w:rFonts w:hint="eastAsia" w:ascii="仿宋_GB2312" w:hAnsi="新宋体" w:eastAsia="仿宋_GB2312" w:cs="仿宋_GB2312"/>
          <w:spacing w:val="-4"/>
          <w:sz w:val="32"/>
          <w:szCs w:val="32"/>
        </w:rPr>
        <w:t>跨界跨项选材和“武术+”项目是学校所在的集团抢抓机遇，实现多元化办学，跨领域培养人才的重要战略举措。目前，学校“武术+”项目发展迅猛，特别是足球项目，在2015年成立之初，就曾庄严承诺：“三年打基础，五年见成效，八年树品牌”，时隔五年在2020年第一届北体青训杯体校武校青少年足球冠军赛中，一举夺得了1个第一名、2个第三名、2个第四名、1个第五名、2个第六名、3个第七名、2个第八名的骄人战绩，学校不仅兑现了承诺，同时也实现了在足球项目上夺取国家级冠军“零的突破”，充分彰显了学校“言必行，行必果”的责任和担当</w:t>
      </w:r>
      <w:r>
        <w:rPr>
          <w:rFonts w:hint="eastAsia" w:ascii="仿宋_GB2312" w:hAnsi="新宋体" w:eastAsia="仿宋_GB2312" w:cs="仿宋_GB2312"/>
          <w:sz w:val="32"/>
          <w:szCs w:val="32"/>
        </w:rPr>
        <w:t>。</w:t>
      </w:r>
    </w:p>
    <w:p>
      <w:pPr>
        <w:widowControl/>
        <w:shd w:val="clear" w:color="auto" w:fill="FFFFFF"/>
        <w:spacing w:line="590" w:lineRule="exact"/>
        <w:ind w:firstLine="640" w:firstLineChars="200"/>
        <w:jc w:val="left"/>
        <w:rPr>
          <w:rFonts w:ascii="仿宋" w:hAnsi="仿宋" w:eastAsia="仿宋" w:cs="仿宋"/>
          <w:b/>
          <w:bCs/>
          <w:color w:val="000000"/>
          <w:kern w:val="0"/>
          <w:sz w:val="32"/>
          <w:szCs w:val="32"/>
        </w:rPr>
      </w:pPr>
      <w:r>
        <w:rPr>
          <w:rFonts w:hint="eastAsia" w:ascii="仿宋_GB2312" w:hAnsi="新宋体" w:eastAsia="仿宋_GB2312" w:cs="仿宋_GB2312"/>
          <w:sz w:val="32"/>
          <w:szCs w:val="32"/>
        </w:rPr>
        <w:t>在“武术+”项目取得长足发展的同时，在跨界跨项选材项目也取得了可喜成绩，截止目前，学校随集团先后向国家极限运动、滑雪运动和河南省短道速滑等9个项目输送了283名苗子队员，他们已经成长为跨界跨项专业的佼佼者。</w:t>
      </w:r>
    </w:p>
    <w:p>
      <w:pPr>
        <w:spacing w:line="590" w:lineRule="exact"/>
        <w:ind w:firstLine="723" w:firstLineChars="200"/>
        <w:textAlignment w:val="baseline"/>
        <w:rPr>
          <w:rFonts w:ascii="仿宋_GB2312" w:hAnsi="仿宋_GB2312" w:eastAsia="仿宋_GB2312" w:cs="仿宋_GB2312"/>
          <w:b/>
          <w:bCs/>
          <w:sz w:val="36"/>
          <w:szCs w:val="36"/>
        </w:rPr>
      </w:pPr>
    </w:p>
    <w:p>
      <w:pPr>
        <w:spacing w:line="590" w:lineRule="exact"/>
        <w:ind w:firstLine="723" w:firstLineChars="200"/>
        <w:textAlignment w:val="baseline"/>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案例三</w:t>
      </w:r>
    </w:p>
    <w:p>
      <w:pPr>
        <w:spacing w:line="590" w:lineRule="exact"/>
        <w:ind w:firstLine="723" w:firstLineChars="200"/>
        <w:jc w:val="center"/>
        <w:textAlignment w:val="baseline"/>
        <w:rPr>
          <w:rFonts w:ascii="仿宋_GB2312" w:hAnsi="仿宋_GB2312" w:eastAsia="仿宋_GB2312" w:cs="仿宋_GB2312"/>
          <w:b/>
          <w:bCs/>
          <w:sz w:val="36"/>
          <w:szCs w:val="36"/>
        </w:rPr>
      </w:pPr>
      <w:r>
        <w:rPr>
          <w:rFonts w:hint="eastAsia" w:ascii="仿宋_GB2312" w:hAnsi="仿宋_GB2312" w:eastAsia="仿宋_GB2312" w:cs="仿宋_GB2312"/>
          <w:b/>
          <w:bCs/>
          <w:sz w:val="36"/>
          <w:szCs w:val="36"/>
        </w:rPr>
        <w:t>发挥党建引领作用，注入学校发展活力</w:t>
      </w:r>
    </w:p>
    <w:p>
      <w:pPr>
        <w:spacing w:line="590" w:lineRule="exact"/>
        <w:ind w:firstLine="640" w:firstLineChars="200"/>
        <w:jc w:val="center"/>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登封市少林鹅坡武术中等专业学校</w:t>
      </w:r>
    </w:p>
    <w:p>
      <w:pPr>
        <w:spacing w:line="59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学校党支部确立了“树红色形象，促鹅坡发展”的工作理念，坚持党建主体、坚持服务学生、坚持整体推进，工作中有目标、有计划、有活动、有成果。在引领依法治校、引领德育工作、引领师德建设、引领工团妇联和引领校园文化的实践中，坚持从严治党，强化宣传教育，突出文武并重，发挥先锋作用。</w:t>
      </w:r>
    </w:p>
    <w:p>
      <w:pPr>
        <w:spacing w:line="590" w:lineRule="exact"/>
        <w:ind w:firstLine="640" w:firstLineChars="200"/>
        <w:textAlignment w:val="baseline"/>
        <w:rPr>
          <w:rFonts w:ascii="仿宋_GB2312" w:hAnsi="仿宋_GB2312" w:eastAsia="仿宋_GB2312" w:cs="仿宋_GB2312"/>
          <w:sz w:val="32"/>
          <w:szCs w:val="32"/>
        </w:rPr>
      </w:pPr>
      <w:r>
        <w:rPr>
          <w:rFonts w:hint="eastAsia" w:ascii="仿宋_GB2312" w:hAnsi="仿宋_GB2312" w:eastAsia="仿宋_GB2312" w:cs="仿宋_GB2312"/>
          <w:sz w:val="32"/>
          <w:szCs w:val="32"/>
        </w:rPr>
        <w:t>今年面对疫情防控的形势和任务，党支部组织广大党员无畏无惧，冲锋在前，在学校防控和教学中发挥了模范带头作用，为学校健康稳定发展贡献了重要力量。通过与师生共同努力，赢得了市委市政府、教育主管部门等多家单位的肯定。尤其是在两次上级部门联合检查中，一次以99.5分的成绩获得第一名，一次以98分的成绩获得第一名。</w:t>
      </w:r>
    </w:p>
    <w:p>
      <w:pPr>
        <w:widowControl/>
        <w:shd w:val="clear" w:color="auto" w:fill="FFFFFF"/>
        <w:spacing w:line="590" w:lineRule="exact"/>
        <w:jc w:val="center"/>
        <w:rPr>
          <w:rFonts w:ascii="黑体" w:hAnsi="黑体" w:eastAsia="黑体" w:cs="楷体"/>
          <w:b/>
          <w:color w:val="000000"/>
          <w:kern w:val="0"/>
          <w:sz w:val="32"/>
          <w:szCs w:val="32"/>
        </w:rPr>
      </w:pPr>
      <w:r>
        <w:rPr>
          <w:rFonts w:hint="eastAsia" w:ascii="黑体" w:hAnsi="黑体" w:eastAsia="黑体" w:cs="楷体"/>
          <w:b/>
          <w:color w:val="000000"/>
          <w:kern w:val="0"/>
          <w:sz w:val="32"/>
          <w:szCs w:val="32"/>
        </w:rPr>
        <w:t>第八部分  学校党建工作情况</w:t>
      </w:r>
    </w:p>
    <w:p>
      <w:pPr>
        <w:spacing w:line="590" w:lineRule="exact"/>
        <w:ind w:firstLine="617" w:firstLineChars="192"/>
        <w:rPr>
          <w:rFonts w:ascii="楷体" w:hAnsi="楷体" w:eastAsia="楷体" w:cs="楷体"/>
          <w:b/>
          <w:bCs/>
          <w:sz w:val="32"/>
          <w:szCs w:val="32"/>
        </w:rPr>
      </w:pPr>
      <w:r>
        <w:rPr>
          <w:rFonts w:hint="eastAsia" w:ascii="楷体" w:hAnsi="楷体" w:eastAsia="楷体" w:cs="宋体"/>
          <w:b/>
          <w:bCs/>
          <w:color w:val="333333"/>
          <w:kern w:val="0"/>
          <w:sz w:val="32"/>
          <w:szCs w:val="32"/>
        </w:rPr>
        <w:t xml:space="preserve">8.1  </w:t>
      </w:r>
      <w:r>
        <w:rPr>
          <w:rFonts w:hint="eastAsia" w:ascii="楷体" w:hAnsi="楷体" w:eastAsia="楷体" w:cs="楷体"/>
          <w:b/>
          <w:bCs/>
          <w:sz w:val="32"/>
          <w:szCs w:val="32"/>
        </w:rPr>
        <w:t>规范和加强基层党建工作</w:t>
      </w:r>
    </w:p>
    <w:p>
      <w:pPr>
        <w:spacing w:line="590" w:lineRule="exact"/>
        <w:ind w:firstLine="614" w:firstLineChars="192"/>
        <w:rPr>
          <w:rFonts w:ascii="仿宋" w:hAnsi="仿宋" w:eastAsia="仿宋" w:cs="仿宋"/>
          <w:sz w:val="32"/>
          <w:szCs w:val="32"/>
        </w:rPr>
      </w:pPr>
      <w:r>
        <w:rPr>
          <w:rFonts w:hint="eastAsia" w:ascii="仿宋" w:hAnsi="仿宋" w:eastAsia="仿宋" w:cs="仿宋"/>
          <w:sz w:val="32"/>
          <w:szCs w:val="32"/>
        </w:rPr>
        <w:t>健全党建管理体制，落实党建主体责任。2020年教育局党组对基层党建工作由属地管理转为直接管理，向民办学校统一派驻“第一书记”，规范了党建工作目标管理责任制。层层签订党建目标责任书，按照分工履行职责，既分工又合作，加强过程管理和考核，形成了规范的党建工作管理体制。</w:t>
      </w:r>
    </w:p>
    <w:p>
      <w:pPr>
        <w:spacing w:line="590" w:lineRule="exact"/>
        <w:ind w:firstLine="614" w:firstLineChars="192"/>
        <w:rPr>
          <w:rFonts w:ascii="仿宋" w:hAnsi="仿宋" w:eastAsia="仿宋" w:cs="仿宋"/>
          <w:sz w:val="32"/>
          <w:szCs w:val="32"/>
        </w:rPr>
      </w:pPr>
      <w:r>
        <w:rPr>
          <w:rFonts w:hint="eastAsia" w:ascii="仿宋" w:hAnsi="仿宋" w:eastAsia="仿宋"/>
          <w:sz w:val="32"/>
          <w:szCs w:val="32"/>
        </w:rPr>
        <w:t>党组织积极发挥政治核心作用，以习近平新时代中国特色社会主义思想为指导,加强党员思想教育，严肃党内政治生活，规范开展“三会一课”，充分发挥党员的先锋模范作用，引领学校发展。巩固民办学校党组织全覆盖成果，提升民办学校党建工作规范化水平，组织民办学校党组织第一书记、党建指导员和党建负责人专题培训，提升党建业务能力。开展民办学校党建工作专项调研，配齐了民办学校党建第一书记。组织开展了党建工作现场观摩活动，加强党建工作学习交流。加强基层党支部建设，选好支部书记，做好党建专干培训。制订了示范性学校党支部创建标准，开展示范性党支部创建活动。制订完善党建工作考核评价体系，建立了党建工作督查制度。</w:t>
      </w:r>
    </w:p>
    <w:p>
      <w:pPr>
        <w:spacing w:line="590" w:lineRule="exact"/>
        <w:ind w:firstLine="617" w:firstLineChars="192"/>
        <w:rPr>
          <w:rFonts w:ascii="楷体" w:hAnsi="楷体" w:eastAsia="楷体" w:cs="楷体"/>
          <w:b/>
          <w:bCs/>
          <w:color w:val="333333"/>
          <w:kern w:val="0"/>
          <w:sz w:val="32"/>
          <w:szCs w:val="32"/>
        </w:rPr>
      </w:pPr>
      <w:r>
        <w:rPr>
          <w:rFonts w:hint="eastAsia" w:ascii="楷体" w:hAnsi="楷体" w:eastAsia="楷体" w:cs="楷体"/>
          <w:b/>
          <w:bCs/>
          <w:color w:val="333333"/>
          <w:kern w:val="0"/>
          <w:sz w:val="32"/>
          <w:szCs w:val="32"/>
        </w:rPr>
        <w:t>8.2  开展党员集中教育活动</w:t>
      </w:r>
    </w:p>
    <w:p>
      <w:pPr>
        <w:spacing w:line="590" w:lineRule="exact"/>
        <w:ind w:firstLine="614" w:firstLineChars="192"/>
        <w:rPr>
          <w:rFonts w:ascii="仿宋" w:hAnsi="仿宋" w:eastAsia="仿宋"/>
          <w:sz w:val="32"/>
          <w:szCs w:val="32"/>
        </w:rPr>
      </w:pPr>
      <w:r>
        <w:rPr>
          <w:rFonts w:hint="eastAsia" w:ascii="仿宋" w:hAnsi="仿宋" w:eastAsia="仿宋"/>
          <w:sz w:val="32"/>
          <w:szCs w:val="32"/>
        </w:rPr>
        <w:t>结合实际开展了多项专题活动。一是“不忘初心、牢记使命”主题教育常规化制度化。二是扎实开展“党建领航、履职增效”活动，实施“三亮一增”，全面提升党员党性意识，切实发挥党员先锋模范作用。三是开展登封市2020年基层党组织书记和党员“学习习近平新时代中国特色社会主义思想、政治能力大提升”集中轮训。四是严格落实“三会一课”制度和党员活动日制度。五是开展廉政教育，实施廉政文化进校园活动，开展了两次以案促改警示教育活动，组织党员教师集中观看了廉政教育专题片，登封典型案例现身说法，深入开展廉政教育活动。六是开展了师德专题教育活动、师德考核活动、师德楷模学习活动、庆祝教师节活动、观看郑州市师德报告会。</w:t>
      </w:r>
    </w:p>
    <w:p>
      <w:pPr>
        <w:spacing w:line="590" w:lineRule="exact"/>
        <w:ind w:firstLine="617" w:firstLineChars="192"/>
        <w:rPr>
          <w:rFonts w:ascii="楷体" w:hAnsi="楷体" w:eastAsia="楷体" w:cs="宋体"/>
          <w:b/>
          <w:bCs/>
          <w:color w:val="333333"/>
          <w:kern w:val="0"/>
          <w:sz w:val="32"/>
          <w:szCs w:val="32"/>
        </w:rPr>
      </w:pPr>
      <w:r>
        <w:rPr>
          <w:rFonts w:hint="eastAsia" w:ascii="楷体" w:hAnsi="楷体" w:eastAsia="楷体" w:cs="宋体"/>
          <w:b/>
          <w:bCs/>
          <w:color w:val="333333"/>
          <w:kern w:val="0"/>
          <w:sz w:val="32"/>
          <w:szCs w:val="32"/>
        </w:rPr>
        <w:t>8.3  不断强化理论学习</w:t>
      </w:r>
    </w:p>
    <w:p>
      <w:pPr>
        <w:spacing w:line="590" w:lineRule="exact"/>
        <w:ind w:firstLine="614" w:firstLineChars="192"/>
        <w:rPr>
          <w:rFonts w:ascii="仿宋" w:hAnsi="仿宋" w:eastAsia="仿宋"/>
          <w:sz w:val="32"/>
          <w:szCs w:val="32"/>
        </w:rPr>
      </w:pPr>
      <w:r>
        <w:rPr>
          <w:rFonts w:hint="eastAsia" w:ascii="仿宋" w:hAnsi="仿宋" w:eastAsia="仿宋"/>
          <w:sz w:val="32"/>
          <w:szCs w:val="32"/>
        </w:rPr>
        <w:t>充分发挥学校党组织日常学习主渠道作用，积极拓宽党员学习教育和交流渠道，加大党建宣传教育力度。在党建云平台和登封教育微信公众号上发布学校党建活动信息，利用党建云、学习强国和校内党支部党员教育微信群开展学习教育。定期通报基层党支部党员参加党建云、学习强国学习积分情况，督促党员加强学习。定期开展学习交流活动、举办主题征文比赛、评选优秀党支部和优秀党员，激发党员和党员领导干部学习积极性，提升党员思想政治素质和政策理论水平。</w:t>
      </w:r>
    </w:p>
    <w:p>
      <w:pPr>
        <w:widowControl/>
        <w:shd w:val="clear" w:color="auto" w:fill="FFFFFF"/>
        <w:spacing w:line="590" w:lineRule="exact"/>
        <w:jc w:val="center"/>
        <w:rPr>
          <w:rFonts w:ascii="黑体" w:hAnsi="黑体" w:eastAsia="黑体" w:cs="楷体"/>
          <w:b/>
          <w:color w:val="000000"/>
          <w:kern w:val="0"/>
          <w:sz w:val="32"/>
          <w:szCs w:val="32"/>
        </w:rPr>
      </w:pPr>
      <w:r>
        <w:rPr>
          <w:rFonts w:hint="eastAsia" w:ascii="黑体" w:hAnsi="黑体" w:eastAsia="黑体" w:cs="楷体"/>
          <w:b/>
          <w:color w:val="000000"/>
          <w:kern w:val="0"/>
          <w:sz w:val="32"/>
          <w:szCs w:val="32"/>
        </w:rPr>
        <w:t>第九部分  主要问题和改进措施</w:t>
      </w:r>
    </w:p>
    <w:p>
      <w:pPr>
        <w:widowControl/>
        <w:shd w:val="clear" w:color="auto" w:fill="FFFFFF"/>
        <w:spacing w:line="590" w:lineRule="exact"/>
        <w:ind w:firstLine="643" w:firstLineChars="200"/>
        <w:jc w:val="left"/>
        <w:rPr>
          <w:rFonts w:ascii="仿宋" w:hAnsi="仿宋" w:eastAsia="仿宋" w:cs="仿宋"/>
          <w:bCs/>
          <w:color w:val="000000"/>
          <w:kern w:val="0"/>
          <w:sz w:val="32"/>
          <w:szCs w:val="32"/>
        </w:rPr>
      </w:pPr>
      <w:r>
        <w:rPr>
          <w:rFonts w:hint="eastAsia" w:ascii="楷体" w:hAnsi="楷体" w:eastAsia="楷体" w:cs="仿宋"/>
          <w:b/>
          <w:color w:val="000000"/>
          <w:kern w:val="0"/>
          <w:sz w:val="32"/>
          <w:szCs w:val="32"/>
        </w:rPr>
        <w:t>9.1  主要问题</w:t>
      </w:r>
    </w:p>
    <w:p>
      <w:pPr>
        <w:widowControl/>
        <w:shd w:val="clear" w:color="auto" w:fill="FFFFFF"/>
        <w:spacing w:line="590" w:lineRule="exact"/>
        <w:ind w:firstLine="643" w:firstLineChars="200"/>
        <w:jc w:val="left"/>
        <w:rPr>
          <w:rFonts w:ascii="仿宋" w:hAnsi="仿宋" w:eastAsia="仿宋"/>
          <w:sz w:val="32"/>
          <w:szCs w:val="32"/>
        </w:rPr>
      </w:pPr>
      <w:r>
        <w:rPr>
          <w:rFonts w:hint="eastAsia" w:ascii="仿宋" w:hAnsi="仿宋" w:eastAsia="仿宋" w:cs="仿宋_GB2312"/>
          <w:b/>
          <w:bCs/>
          <w:color w:val="000000"/>
          <w:kern w:val="36"/>
          <w:sz w:val="32"/>
          <w:szCs w:val="32"/>
        </w:rPr>
        <w:t>一是校企合作不够深入。</w:t>
      </w:r>
      <w:r>
        <w:rPr>
          <w:rFonts w:hint="eastAsia" w:ascii="仿宋" w:hAnsi="仿宋" w:eastAsia="仿宋" w:cs="仿宋_GB2312"/>
          <w:bCs/>
          <w:color w:val="000000"/>
          <w:kern w:val="36"/>
          <w:sz w:val="32"/>
          <w:szCs w:val="32"/>
        </w:rPr>
        <w:t>学校办学思路、格局定位、创新意识需要转变</w:t>
      </w:r>
      <w:r>
        <w:rPr>
          <w:rFonts w:hint="eastAsia" w:ascii="仿宋" w:hAnsi="仿宋" w:eastAsia="仿宋"/>
          <w:sz w:val="32"/>
          <w:szCs w:val="32"/>
        </w:rPr>
        <w:t>。校企合作、联合办校、共建专业等方面融合不到位，“交互”课堂还处在探索阶段，校企合作项目不够深入，订单培训效果不太显著，学校培养的人才与市场需求有距离。</w:t>
      </w:r>
    </w:p>
    <w:p>
      <w:pPr>
        <w:widowControl/>
        <w:shd w:val="clear" w:color="auto" w:fill="FFFFFF"/>
        <w:spacing w:line="590" w:lineRule="exact"/>
        <w:ind w:firstLine="643" w:firstLineChars="200"/>
        <w:jc w:val="left"/>
        <w:rPr>
          <w:rFonts w:ascii="仿宋" w:hAnsi="仿宋" w:eastAsia="仿宋"/>
          <w:sz w:val="32"/>
          <w:szCs w:val="32"/>
        </w:rPr>
      </w:pPr>
      <w:r>
        <w:rPr>
          <w:rFonts w:hint="eastAsia" w:ascii="仿宋" w:hAnsi="仿宋" w:eastAsia="仿宋"/>
          <w:b/>
          <w:bCs/>
          <w:sz w:val="32"/>
          <w:szCs w:val="32"/>
        </w:rPr>
        <w:t>二是师资队伍整体水平有待提高。</w:t>
      </w:r>
      <w:r>
        <w:rPr>
          <w:rFonts w:hint="eastAsia" w:ascii="仿宋" w:hAnsi="仿宋" w:eastAsia="仿宋"/>
          <w:sz w:val="32"/>
          <w:szCs w:val="32"/>
        </w:rPr>
        <w:t>学校教师队伍结构还不够合理，专业课教师结构性缺编，年龄结构不合理，民办学校“双师型”教师和专职实训指导教师业务素质不高，尤其是武术学校教练员文化基础薄弱，缺乏系统性教育理论学习，教育教学理念陈旧，教学方法单一，教师外出学习培训的机会较少。</w:t>
      </w:r>
    </w:p>
    <w:p>
      <w:pPr>
        <w:widowControl/>
        <w:shd w:val="clear" w:color="auto" w:fill="FFFFFF"/>
        <w:spacing w:line="590" w:lineRule="exact"/>
        <w:ind w:firstLine="643" w:firstLineChars="200"/>
        <w:jc w:val="left"/>
        <w:rPr>
          <w:rFonts w:ascii="仿宋" w:hAnsi="仿宋" w:eastAsia="仿宋"/>
          <w:sz w:val="32"/>
          <w:szCs w:val="32"/>
        </w:rPr>
      </w:pPr>
      <w:r>
        <w:rPr>
          <w:rFonts w:hint="eastAsia" w:ascii="仿宋" w:hAnsi="仿宋" w:eastAsia="仿宋"/>
          <w:b/>
          <w:sz w:val="32"/>
          <w:szCs w:val="32"/>
        </w:rPr>
        <w:t>三是课堂教学不规范，质量不高。</w:t>
      </w:r>
      <w:r>
        <w:rPr>
          <w:rFonts w:hint="eastAsia" w:ascii="仿宋" w:hAnsi="仿宋" w:eastAsia="仿宋"/>
          <w:sz w:val="32"/>
          <w:szCs w:val="32"/>
        </w:rPr>
        <w:t>由于民办学校教师队伍不稳定，部分教师没有教师资格证，受体制和待遇影响，教师流动性大，严重影响学校对教师进行系统性业务培训，导致大多教师教龄只有2-3年，教师频繁流动，达标课、优质课、示范课推进难度大。</w:t>
      </w:r>
    </w:p>
    <w:p>
      <w:pPr>
        <w:spacing w:line="590" w:lineRule="exact"/>
        <w:ind w:firstLine="643" w:firstLineChars="200"/>
        <w:jc w:val="left"/>
        <w:rPr>
          <w:rFonts w:ascii="仿宋" w:hAnsi="仿宋" w:eastAsia="仿宋" w:cs="仿宋"/>
          <w:sz w:val="32"/>
          <w:szCs w:val="32"/>
        </w:rPr>
      </w:pPr>
      <w:r>
        <w:rPr>
          <w:rFonts w:hint="eastAsia" w:ascii="楷体" w:hAnsi="楷体" w:eastAsia="楷体" w:cs="仿宋"/>
          <w:b/>
          <w:bCs/>
          <w:sz w:val="32"/>
          <w:szCs w:val="32"/>
        </w:rPr>
        <w:t>9.2  改进措施</w:t>
      </w:r>
    </w:p>
    <w:p>
      <w:pPr>
        <w:spacing w:line="59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一是坚持党对教育事业的全面领导，积极营造发展职业教育的良好氛围。</w:t>
      </w:r>
      <w:r>
        <w:rPr>
          <w:rFonts w:hint="eastAsia" w:ascii="仿宋" w:hAnsi="仿宋" w:eastAsia="仿宋" w:cs="仿宋"/>
          <w:sz w:val="32"/>
          <w:szCs w:val="32"/>
        </w:rPr>
        <w:t xml:space="preserve">要牢牢把握教育工作政治方向。强化党建工作统领作用，以高质量党建推动高质量建设“美好教育”。深入贯彻落实全国全省全市教育大会、职业教育工作会议精神，牢固树立美好生活从美好教育开始理念，积极开辟阵地和媒体平台，切实做好职业教育改革发展政策措施的宣传工作，组织好师生专业技能竞赛活动，办好职业教育活动周、中职招生咨询会等活动，展示职业教育发展成果。  </w:t>
      </w:r>
    </w:p>
    <w:p>
      <w:pPr>
        <w:spacing w:line="590" w:lineRule="exact"/>
        <w:ind w:firstLine="640" w:firstLineChars="200"/>
        <w:jc w:val="left"/>
        <w:rPr>
          <w:rFonts w:ascii="仿宋" w:hAnsi="仿宋" w:eastAsia="仿宋" w:cs="仿宋"/>
          <w:sz w:val="32"/>
          <w:szCs w:val="32"/>
        </w:rPr>
      </w:pPr>
      <w:r>
        <w:rPr>
          <w:rFonts w:hint="eastAsia" w:ascii="仿宋" w:hAnsi="仿宋" w:eastAsia="仿宋" w:cs="仿宋"/>
          <w:sz w:val="32"/>
          <w:szCs w:val="32"/>
        </w:rPr>
        <w:t>完善职业学校督导评估体系。围绕确保职业教育改革发展、落实立德树人根本任务、贯彻市委政府决策部署，开展学校发展教育教学督导评估，督促规范办学行为。完善教育经费投入保障机制，推动调整中等职业学校生均公用经费基本标准，加强教育经费执行情况统计监测，完善内部控制制度。加快推进登封市中等专业学校卢店校区改扩建工程落地实施，推进公办民办教育协调发展。</w:t>
      </w:r>
    </w:p>
    <w:p>
      <w:pPr>
        <w:spacing w:line="59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二是继续深化教育体制机制改革。</w:t>
      </w:r>
      <w:r>
        <w:rPr>
          <w:rFonts w:hint="eastAsia" w:ascii="仿宋" w:hAnsi="仿宋" w:eastAsia="仿宋" w:cs="仿宋"/>
          <w:bCs/>
          <w:sz w:val="32"/>
          <w:szCs w:val="32"/>
        </w:rPr>
        <w:t>要</w:t>
      </w:r>
      <w:r>
        <w:rPr>
          <w:rFonts w:hint="eastAsia" w:ascii="仿宋" w:hAnsi="仿宋" w:eastAsia="仿宋" w:cs="仿宋"/>
          <w:sz w:val="32"/>
          <w:szCs w:val="32"/>
        </w:rPr>
        <w:t>结合实际，认真研究和落实国家及省职业教育改革实施方案，不断深化办学体制和育人机制改革。推进产教融合，积极配合和支持国家产教融合型城市试点建设工作。强化“双师型”教师培养工作，完善教师进企业实践培养制度和特聘兼职教师队伍制度。深化校企合作，推进校企协同育人。全面推进中职学校学分制教学改革、综合素质评价和学业水平评价体系改革。加快推进教育信息化，筑牢安全稳定防控体系。突出德育工作实效性，全面促进学生身心健康。</w:t>
      </w:r>
    </w:p>
    <w:p>
      <w:pPr>
        <w:spacing w:line="59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三是加强教师队伍建设改革，造就高质量师资队伍。</w:t>
      </w:r>
      <w:r>
        <w:rPr>
          <w:rFonts w:hint="eastAsia" w:ascii="仿宋" w:hAnsi="仿宋" w:eastAsia="仿宋" w:cs="仿宋"/>
          <w:sz w:val="32"/>
          <w:szCs w:val="32"/>
        </w:rPr>
        <w:t>开展师德师风主题教育活动，宣传美好教师高尚师德。加快推进中小学教师“县管校聘”管理改革和民办学校教师准入制度建设。完善和落实“国培”“省培”“市培”“县培”“校本研修”五级联动教师培训机制，为教师参与涉外学习、企业实践提供更多的机会和便利。依法保障教师待遇，优化教师从教环境。</w:t>
      </w:r>
    </w:p>
    <w:p>
      <w:pPr>
        <w:spacing w:line="590" w:lineRule="exact"/>
        <w:ind w:firstLine="643" w:firstLineChars="200"/>
        <w:jc w:val="left"/>
        <w:rPr>
          <w:rFonts w:ascii="仿宋" w:hAnsi="仿宋" w:eastAsia="仿宋" w:cs="仿宋"/>
          <w:sz w:val="32"/>
          <w:szCs w:val="32"/>
        </w:rPr>
      </w:pPr>
      <w:r>
        <w:rPr>
          <w:rFonts w:hint="eastAsia" w:ascii="仿宋" w:hAnsi="仿宋" w:eastAsia="仿宋" w:cs="仿宋"/>
          <w:b/>
          <w:sz w:val="32"/>
          <w:szCs w:val="32"/>
        </w:rPr>
        <w:t>四是开展课堂教学达标评优活动，规范课堂教学。</w:t>
      </w:r>
      <w:r>
        <w:rPr>
          <w:rFonts w:hint="eastAsia" w:ascii="仿宋" w:hAnsi="仿宋" w:eastAsia="仿宋" w:cs="仿宋"/>
          <w:sz w:val="32"/>
          <w:szCs w:val="32"/>
        </w:rPr>
        <w:t>质量是学校的生命线，课堂教学是提高学校质量的关键。因此，我们扭住提高课堂教学质量这个牛耳不放松，通过达标课、优质课、示范课、观摩课，提高广大教师的业务素质，使课堂教学水平登上一个新的台阶。</w:t>
      </w:r>
    </w:p>
    <w:p>
      <w:pPr>
        <w:spacing w:line="590" w:lineRule="exact"/>
        <w:ind w:firstLine="4800" w:firstLineChars="1500"/>
        <w:rPr>
          <w:rFonts w:ascii="仿宋" w:hAnsi="仿宋" w:eastAsia="仿宋" w:cs="仿宋"/>
          <w:sz w:val="32"/>
          <w:szCs w:val="32"/>
        </w:rPr>
      </w:pPr>
      <w:r>
        <w:rPr>
          <w:rFonts w:hint="eastAsia" w:ascii="仿宋" w:hAnsi="仿宋" w:eastAsia="仿宋" w:cs="仿宋"/>
          <w:sz w:val="32"/>
          <w:szCs w:val="32"/>
        </w:rPr>
        <w:t xml:space="preserve">      </w:t>
      </w:r>
    </w:p>
    <w:p>
      <w:pPr>
        <w:spacing w:line="590" w:lineRule="exact"/>
        <w:ind w:firstLine="4800" w:firstLineChars="1500"/>
        <w:rPr>
          <w:rFonts w:ascii="仿宋" w:hAnsi="仿宋" w:eastAsia="仿宋" w:cs="仿宋"/>
          <w:sz w:val="32"/>
          <w:szCs w:val="32"/>
        </w:rPr>
      </w:pPr>
    </w:p>
    <w:p>
      <w:pPr>
        <w:spacing w:line="590" w:lineRule="exact"/>
        <w:ind w:firstLine="5440" w:firstLineChars="1700"/>
        <w:rPr>
          <w:rFonts w:ascii="仿宋" w:hAnsi="仿宋" w:eastAsia="仿宋" w:cs="仿宋"/>
          <w:sz w:val="32"/>
          <w:szCs w:val="32"/>
        </w:rPr>
      </w:pPr>
      <w:r>
        <w:rPr>
          <w:rFonts w:hint="eastAsia" w:ascii="仿宋" w:hAnsi="仿宋" w:eastAsia="仿宋" w:cs="仿宋"/>
          <w:sz w:val="32"/>
          <w:szCs w:val="32"/>
        </w:rPr>
        <w:t>2021年2月23日</w:t>
      </w:r>
    </w:p>
    <w:sectPr>
      <w:footerReference r:id="rId4" w:type="default"/>
      <w:pgSz w:w="11906" w:h="16838"/>
      <w:pgMar w:top="2098" w:right="1474" w:bottom="1985" w:left="1588" w:header="851" w:footer="1418"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小标宋_GBK">
    <w:altName w:val="微软雅黑"/>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auto"/>
    <w:pitch w:val="default"/>
    <w:sig w:usb0="E0002AFF" w:usb1="C0007843"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243866"/>
    </w:sdtPr>
    <w:sdtEndPr>
      <w:rPr>
        <w:rFonts w:asciiTheme="minorEastAsia" w:hAnsiTheme="minorEastAsia"/>
        <w:sz w:val="28"/>
        <w:szCs w:val="28"/>
      </w:rPr>
    </w:sdtEndPr>
    <w:sdtContent>
      <w:p>
        <w:pPr>
          <w:pStyle w:val="4"/>
          <w:jc w:val="center"/>
          <w:rPr>
            <w:rFonts w:asciiTheme="minorEastAsia" w:hAnsiTheme="minorEastAsia"/>
            <w:sz w:val="28"/>
            <w:szCs w:val="28"/>
          </w:rPr>
        </w:pPr>
      </w:p>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rPr>
        <w:rFonts w:asciiTheme="minorEastAsia" w:hAnsiTheme="minorEastAsia"/>
        <w:sz w:val="28"/>
        <w:szCs w:val="28"/>
      </w:rPr>
    </w:pP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w:t>
    </w:r>
    <w:r>
      <w:rPr>
        <w:rFonts w:asciiTheme="minorEastAsia" w:hAnsiTheme="minorEastAsia"/>
        <w:sz w:val="28"/>
        <w:szCs w:val="28"/>
      </w:rPr>
      <w:t xml:space="preserve"> 3 -</w:t>
    </w:r>
    <w:r>
      <w:rPr>
        <w:rFonts w:asciiTheme="minorEastAsia" w:hAnsiTheme="minorEastAsia"/>
        <w:sz w:val="28"/>
        <w:szCs w:val="28"/>
      </w:rPr>
      <w:fldChar w:fldCharType="end"/>
    </w:r>
  </w:p>
  <w:p>
    <w:pPr>
      <w:pStyle w:val="4"/>
      <w:rPr>
        <w:rFonts w:asciiTheme="minorEastAsia" w:hAnsiTheme="minorEastAsia"/>
        <w:sz w:val="28"/>
        <w:szCs w:val="28"/>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9C5AD9"/>
    <w:multiLevelType w:val="multilevel"/>
    <w:tmpl w:val="539C5AD9"/>
    <w:lvl w:ilvl="0" w:tentative="0">
      <w:start w:val="1"/>
      <w:numFmt w:val="japaneseCounting"/>
      <w:lvlText w:val="%1、"/>
      <w:lvlJc w:val="left"/>
      <w:pPr>
        <w:ind w:left="1354" w:hanging="720"/>
      </w:pPr>
    </w:lvl>
    <w:lvl w:ilvl="1" w:tentative="0">
      <w:start w:val="1"/>
      <w:numFmt w:val="lowerLetter"/>
      <w:lvlText w:val="%2)"/>
      <w:lvlJc w:val="left"/>
      <w:pPr>
        <w:ind w:left="1474" w:hanging="420"/>
      </w:pPr>
    </w:lvl>
    <w:lvl w:ilvl="2" w:tentative="0">
      <w:start w:val="1"/>
      <w:numFmt w:val="lowerRoman"/>
      <w:lvlText w:val="%3."/>
      <w:lvlJc w:val="right"/>
      <w:pPr>
        <w:ind w:left="1894" w:hanging="420"/>
      </w:pPr>
    </w:lvl>
    <w:lvl w:ilvl="3" w:tentative="0">
      <w:start w:val="1"/>
      <w:numFmt w:val="decimal"/>
      <w:lvlText w:val="%4."/>
      <w:lvlJc w:val="left"/>
      <w:pPr>
        <w:ind w:left="2314" w:hanging="420"/>
      </w:pPr>
    </w:lvl>
    <w:lvl w:ilvl="4" w:tentative="0">
      <w:start w:val="1"/>
      <w:numFmt w:val="lowerLetter"/>
      <w:lvlText w:val="%5)"/>
      <w:lvlJc w:val="left"/>
      <w:pPr>
        <w:ind w:left="2734" w:hanging="420"/>
      </w:pPr>
    </w:lvl>
    <w:lvl w:ilvl="5" w:tentative="0">
      <w:start w:val="1"/>
      <w:numFmt w:val="lowerRoman"/>
      <w:lvlText w:val="%6."/>
      <w:lvlJc w:val="right"/>
      <w:pPr>
        <w:ind w:left="3154" w:hanging="420"/>
      </w:pPr>
    </w:lvl>
    <w:lvl w:ilvl="6" w:tentative="0">
      <w:start w:val="1"/>
      <w:numFmt w:val="decimal"/>
      <w:lvlText w:val="%7."/>
      <w:lvlJc w:val="left"/>
      <w:pPr>
        <w:ind w:left="3574" w:hanging="420"/>
      </w:pPr>
    </w:lvl>
    <w:lvl w:ilvl="7" w:tentative="0">
      <w:start w:val="1"/>
      <w:numFmt w:val="lowerLetter"/>
      <w:lvlText w:val="%8)"/>
      <w:lvlJc w:val="left"/>
      <w:pPr>
        <w:ind w:left="3994" w:hanging="420"/>
      </w:pPr>
    </w:lvl>
    <w:lvl w:ilvl="8" w:tentative="0">
      <w:start w:val="1"/>
      <w:numFmt w:val="lowerRoman"/>
      <w:lvlText w:val="%9."/>
      <w:lvlJc w:val="right"/>
      <w:pPr>
        <w:ind w:left="4414"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3A0E0D"/>
    <w:rsid w:val="0000635E"/>
    <w:rsid w:val="00010F99"/>
    <w:rsid w:val="00011589"/>
    <w:rsid w:val="00011D48"/>
    <w:rsid w:val="00013EE1"/>
    <w:rsid w:val="000227D1"/>
    <w:rsid w:val="0002561E"/>
    <w:rsid w:val="00025DA9"/>
    <w:rsid w:val="000263E3"/>
    <w:rsid w:val="00034F14"/>
    <w:rsid w:val="00041978"/>
    <w:rsid w:val="00042056"/>
    <w:rsid w:val="00043AC8"/>
    <w:rsid w:val="000460B3"/>
    <w:rsid w:val="00051892"/>
    <w:rsid w:val="00053C1E"/>
    <w:rsid w:val="00056721"/>
    <w:rsid w:val="00057BD5"/>
    <w:rsid w:val="0006188A"/>
    <w:rsid w:val="00064516"/>
    <w:rsid w:val="000648D8"/>
    <w:rsid w:val="0007059F"/>
    <w:rsid w:val="00073B87"/>
    <w:rsid w:val="00077176"/>
    <w:rsid w:val="0008103C"/>
    <w:rsid w:val="00082183"/>
    <w:rsid w:val="00083EFC"/>
    <w:rsid w:val="000848DB"/>
    <w:rsid w:val="00091D3D"/>
    <w:rsid w:val="00093CFF"/>
    <w:rsid w:val="000959C6"/>
    <w:rsid w:val="00096C21"/>
    <w:rsid w:val="000B3C1C"/>
    <w:rsid w:val="000C0354"/>
    <w:rsid w:val="000C17B6"/>
    <w:rsid w:val="000C1920"/>
    <w:rsid w:val="000C2635"/>
    <w:rsid w:val="000C388B"/>
    <w:rsid w:val="000C580E"/>
    <w:rsid w:val="000C5A3B"/>
    <w:rsid w:val="000C671E"/>
    <w:rsid w:val="000D08CC"/>
    <w:rsid w:val="000D7848"/>
    <w:rsid w:val="000E05DD"/>
    <w:rsid w:val="000E2F88"/>
    <w:rsid w:val="000E407B"/>
    <w:rsid w:val="000E5DA8"/>
    <w:rsid w:val="000F1743"/>
    <w:rsid w:val="000F3497"/>
    <w:rsid w:val="001019B3"/>
    <w:rsid w:val="00101CA6"/>
    <w:rsid w:val="001056E5"/>
    <w:rsid w:val="00106CC2"/>
    <w:rsid w:val="00107FC6"/>
    <w:rsid w:val="001104C4"/>
    <w:rsid w:val="0011102B"/>
    <w:rsid w:val="001114A0"/>
    <w:rsid w:val="001133D4"/>
    <w:rsid w:val="0011522B"/>
    <w:rsid w:val="0011692F"/>
    <w:rsid w:val="00117A49"/>
    <w:rsid w:val="00123024"/>
    <w:rsid w:val="001323E2"/>
    <w:rsid w:val="00140A9C"/>
    <w:rsid w:val="001423AA"/>
    <w:rsid w:val="0015220E"/>
    <w:rsid w:val="001544D6"/>
    <w:rsid w:val="001603C8"/>
    <w:rsid w:val="0016082D"/>
    <w:rsid w:val="00160838"/>
    <w:rsid w:val="001615A4"/>
    <w:rsid w:val="00162526"/>
    <w:rsid w:val="001662F6"/>
    <w:rsid w:val="00166911"/>
    <w:rsid w:val="001712D8"/>
    <w:rsid w:val="00182757"/>
    <w:rsid w:val="00184C5E"/>
    <w:rsid w:val="0018528A"/>
    <w:rsid w:val="00185A63"/>
    <w:rsid w:val="00186CEB"/>
    <w:rsid w:val="00187F40"/>
    <w:rsid w:val="00190862"/>
    <w:rsid w:val="00192FC9"/>
    <w:rsid w:val="00194D2A"/>
    <w:rsid w:val="00196248"/>
    <w:rsid w:val="0019670A"/>
    <w:rsid w:val="00196849"/>
    <w:rsid w:val="00196CB0"/>
    <w:rsid w:val="001A0A19"/>
    <w:rsid w:val="001A14FE"/>
    <w:rsid w:val="001A16DB"/>
    <w:rsid w:val="001A5F2C"/>
    <w:rsid w:val="001B0861"/>
    <w:rsid w:val="001B2CE4"/>
    <w:rsid w:val="001B40B1"/>
    <w:rsid w:val="001B5E9D"/>
    <w:rsid w:val="001C17E8"/>
    <w:rsid w:val="001C1C0D"/>
    <w:rsid w:val="001C2EBA"/>
    <w:rsid w:val="001C50B0"/>
    <w:rsid w:val="001D1D7A"/>
    <w:rsid w:val="001D68F6"/>
    <w:rsid w:val="001E04DB"/>
    <w:rsid w:val="001E2EA4"/>
    <w:rsid w:val="001E41B4"/>
    <w:rsid w:val="001E45BA"/>
    <w:rsid w:val="001E4692"/>
    <w:rsid w:val="001E6D9E"/>
    <w:rsid w:val="001F08E4"/>
    <w:rsid w:val="001F5992"/>
    <w:rsid w:val="00201550"/>
    <w:rsid w:val="00203C1F"/>
    <w:rsid w:val="002061EB"/>
    <w:rsid w:val="00207E83"/>
    <w:rsid w:val="00210AFC"/>
    <w:rsid w:val="00215B3A"/>
    <w:rsid w:val="00217A85"/>
    <w:rsid w:val="00222779"/>
    <w:rsid w:val="002232FE"/>
    <w:rsid w:val="00223446"/>
    <w:rsid w:val="00224890"/>
    <w:rsid w:val="00226459"/>
    <w:rsid w:val="00226C7F"/>
    <w:rsid w:val="002323A9"/>
    <w:rsid w:val="00232C86"/>
    <w:rsid w:val="00241156"/>
    <w:rsid w:val="00243885"/>
    <w:rsid w:val="00245C19"/>
    <w:rsid w:val="00253FAE"/>
    <w:rsid w:val="00255F61"/>
    <w:rsid w:val="00256FD2"/>
    <w:rsid w:val="00257198"/>
    <w:rsid w:val="00257599"/>
    <w:rsid w:val="002602B4"/>
    <w:rsid w:val="00262F17"/>
    <w:rsid w:val="002638AF"/>
    <w:rsid w:val="0026425E"/>
    <w:rsid w:val="00264653"/>
    <w:rsid w:val="0027439A"/>
    <w:rsid w:val="00275B0B"/>
    <w:rsid w:val="002763FD"/>
    <w:rsid w:val="002768F1"/>
    <w:rsid w:val="002770C3"/>
    <w:rsid w:val="002776F8"/>
    <w:rsid w:val="0028345F"/>
    <w:rsid w:val="002874E5"/>
    <w:rsid w:val="0029105D"/>
    <w:rsid w:val="002925FB"/>
    <w:rsid w:val="00292BD4"/>
    <w:rsid w:val="002962DF"/>
    <w:rsid w:val="00297D0E"/>
    <w:rsid w:val="002A24EA"/>
    <w:rsid w:val="002A2AF2"/>
    <w:rsid w:val="002A5FD5"/>
    <w:rsid w:val="002A722C"/>
    <w:rsid w:val="002A7832"/>
    <w:rsid w:val="002B3F83"/>
    <w:rsid w:val="002B4E50"/>
    <w:rsid w:val="002B533A"/>
    <w:rsid w:val="002C5E82"/>
    <w:rsid w:val="002C624B"/>
    <w:rsid w:val="002D028E"/>
    <w:rsid w:val="002D0BCC"/>
    <w:rsid w:val="002D67D6"/>
    <w:rsid w:val="002D7AC8"/>
    <w:rsid w:val="002E2D71"/>
    <w:rsid w:val="002E3BF4"/>
    <w:rsid w:val="002E4379"/>
    <w:rsid w:val="002F02B6"/>
    <w:rsid w:val="002F3342"/>
    <w:rsid w:val="0030244C"/>
    <w:rsid w:val="003026C4"/>
    <w:rsid w:val="003038A7"/>
    <w:rsid w:val="00305E28"/>
    <w:rsid w:val="00305FB3"/>
    <w:rsid w:val="00307733"/>
    <w:rsid w:val="00313451"/>
    <w:rsid w:val="00314FF7"/>
    <w:rsid w:val="00315883"/>
    <w:rsid w:val="00315E6A"/>
    <w:rsid w:val="00317728"/>
    <w:rsid w:val="00324592"/>
    <w:rsid w:val="00325559"/>
    <w:rsid w:val="003260A2"/>
    <w:rsid w:val="0032720D"/>
    <w:rsid w:val="00327CAA"/>
    <w:rsid w:val="00330413"/>
    <w:rsid w:val="00336517"/>
    <w:rsid w:val="0033661A"/>
    <w:rsid w:val="00336CD7"/>
    <w:rsid w:val="00340D83"/>
    <w:rsid w:val="003442CE"/>
    <w:rsid w:val="00350420"/>
    <w:rsid w:val="00351CB1"/>
    <w:rsid w:val="00360BBF"/>
    <w:rsid w:val="00363614"/>
    <w:rsid w:val="00363620"/>
    <w:rsid w:val="00365DA2"/>
    <w:rsid w:val="00366089"/>
    <w:rsid w:val="00366E00"/>
    <w:rsid w:val="00370DC5"/>
    <w:rsid w:val="0037270A"/>
    <w:rsid w:val="0037322C"/>
    <w:rsid w:val="00377C51"/>
    <w:rsid w:val="00384B3A"/>
    <w:rsid w:val="00385E16"/>
    <w:rsid w:val="00392018"/>
    <w:rsid w:val="003939F5"/>
    <w:rsid w:val="003A0E0D"/>
    <w:rsid w:val="003A1E5D"/>
    <w:rsid w:val="003A28B0"/>
    <w:rsid w:val="003A28DB"/>
    <w:rsid w:val="003A4C0A"/>
    <w:rsid w:val="003B4BE4"/>
    <w:rsid w:val="003D0D03"/>
    <w:rsid w:val="003D7103"/>
    <w:rsid w:val="003D7A97"/>
    <w:rsid w:val="003F0285"/>
    <w:rsid w:val="003F05FC"/>
    <w:rsid w:val="003F2815"/>
    <w:rsid w:val="003F282F"/>
    <w:rsid w:val="003F28FA"/>
    <w:rsid w:val="003F2C46"/>
    <w:rsid w:val="003F57A0"/>
    <w:rsid w:val="003F5FA1"/>
    <w:rsid w:val="0040094B"/>
    <w:rsid w:val="00401C0B"/>
    <w:rsid w:val="004032D6"/>
    <w:rsid w:val="00406946"/>
    <w:rsid w:val="00413A73"/>
    <w:rsid w:val="00415145"/>
    <w:rsid w:val="00423875"/>
    <w:rsid w:val="00434ECB"/>
    <w:rsid w:val="004353F1"/>
    <w:rsid w:val="00436A84"/>
    <w:rsid w:val="00440813"/>
    <w:rsid w:val="00440EE2"/>
    <w:rsid w:val="004412C6"/>
    <w:rsid w:val="00441C7F"/>
    <w:rsid w:val="00444F49"/>
    <w:rsid w:val="00445C32"/>
    <w:rsid w:val="00445C70"/>
    <w:rsid w:val="004535B6"/>
    <w:rsid w:val="00453BC1"/>
    <w:rsid w:val="00454B84"/>
    <w:rsid w:val="00456680"/>
    <w:rsid w:val="004570DF"/>
    <w:rsid w:val="004613E8"/>
    <w:rsid w:val="00462CA6"/>
    <w:rsid w:val="00465304"/>
    <w:rsid w:val="004673A5"/>
    <w:rsid w:val="004679E0"/>
    <w:rsid w:val="0047012B"/>
    <w:rsid w:val="00470395"/>
    <w:rsid w:val="00471AA7"/>
    <w:rsid w:val="00474F0E"/>
    <w:rsid w:val="00475B5B"/>
    <w:rsid w:val="00483998"/>
    <w:rsid w:val="00485EED"/>
    <w:rsid w:val="0049462F"/>
    <w:rsid w:val="00494856"/>
    <w:rsid w:val="00495128"/>
    <w:rsid w:val="004973D5"/>
    <w:rsid w:val="004B0624"/>
    <w:rsid w:val="004B2600"/>
    <w:rsid w:val="004B5392"/>
    <w:rsid w:val="004C3A21"/>
    <w:rsid w:val="004C4D7A"/>
    <w:rsid w:val="004C57FF"/>
    <w:rsid w:val="004E19FA"/>
    <w:rsid w:val="004E5690"/>
    <w:rsid w:val="004E7C2C"/>
    <w:rsid w:val="004F09D5"/>
    <w:rsid w:val="004F578F"/>
    <w:rsid w:val="004F689E"/>
    <w:rsid w:val="005009B6"/>
    <w:rsid w:val="00506CD0"/>
    <w:rsid w:val="00515565"/>
    <w:rsid w:val="00515A1A"/>
    <w:rsid w:val="005161F7"/>
    <w:rsid w:val="005209C3"/>
    <w:rsid w:val="0053064D"/>
    <w:rsid w:val="00532034"/>
    <w:rsid w:val="00536263"/>
    <w:rsid w:val="0053680B"/>
    <w:rsid w:val="00537E0E"/>
    <w:rsid w:val="00543164"/>
    <w:rsid w:val="00544844"/>
    <w:rsid w:val="00544B85"/>
    <w:rsid w:val="00550768"/>
    <w:rsid w:val="00551C78"/>
    <w:rsid w:val="00551FDF"/>
    <w:rsid w:val="0055302D"/>
    <w:rsid w:val="00555FBF"/>
    <w:rsid w:val="0057015B"/>
    <w:rsid w:val="005702D1"/>
    <w:rsid w:val="00571A61"/>
    <w:rsid w:val="005738B6"/>
    <w:rsid w:val="00573AE5"/>
    <w:rsid w:val="005776EF"/>
    <w:rsid w:val="005857B1"/>
    <w:rsid w:val="00587954"/>
    <w:rsid w:val="005914C8"/>
    <w:rsid w:val="0059370A"/>
    <w:rsid w:val="005A0667"/>
    <w:rsid w:val="005A13A8"/>
    <w:rsid w:val="005A2ECC"/>
    <w:rsid w:val="005A3514"/>
    <w:rsid w:val="005A4A64"/>
    <w:rsid w:val="005A6771"/>
    <w:rsid w:val="005A7FC1"/>
    <w:rsid w:val="005B22FF"/>
    <w:rsid w:val="005B6336"/>
    <w:rsid w:val="005C147F"/>
    <w:rsid w:val="005C17DC"/>
    <w:rsid w:val="005C4A77"/>
    <w:rsid w:val="005C4BE8"/>
    <w:rsid w:val="005C7565"/>
    <w:rsid w:val="005D47CA"/>
    <w:rsid w:val="005D75F5"/>
    <w:rsid w:val="005D7F06"/>
    <w:rsid w:val="005E17BA"/>
    <w:rsid w:val="005E4140"/>
    <w:rsid w:val="005E6911"/>
    <w:rsid w:val="005E77E4"/>
    <w:rsid w:val="00602A6C"/>
    <w:rsid w:val="00613799"/>
    <w:rsid w:val="00622349"/>
    <w:rsid w:val="006255DD"/>
    <w:rsid w:val="0062758C"/>
    <w:rsid w:val="00627B07"/>
    <w:rsid w:val="00631753"/>
    <w:rsid w:val="0063363C"/>
    <w:rsid w:val="00636D44"/>
    <w:rsid w:val="006374C1"/>
    <w:rsid w:val="006375FE"/>
    <w:rsid w:val="00640145"/>
    <w:rsid w:val="00642DC7"/>
    <w:rsid w:val="00647DC3"/>
    <w:rsid w:val="00650F9B"/>
    <w:rsid w:val="00652E43"/>
    <w:rsid w:val="00654478"/>
    <w:rsid w:val="00664BF5"/>
    <w:rsid w:val="00666B1E"/>
    <w:rsid w:val="00671274"/>
    <w:rsid w:val="0067216C"/>
    <w:rsid w:val="0067239A"/>
    <w:rsid w:val="0067348D"/>
    <w:rsid w:val="0067702F"/>
    <w:rsid w:val="006770C9"/>
    <w:rsid w:val="00677416"/>
    <w:rsid w:val="00677461"/>
    <w:rsid w:val="006824F3"/>
    <w:rsid w:val="006864F0"/>
    <w:rsid w:val="00696846"/>
    <w:rsid w:val="00696A7E"/>
    <w:rsid w:val="00696ED9"/>
    <w:rsid w:val="006A1535"/>
    <w:rsid w:val="006A4739"/>
    <w:rsid w:val="006A4FEA"/>
    <w:rsid w:val="006A50F2"/>
    <w:rsid w:val="006A5973"/>
    <w:rsid w:val="006B4CF9"/>
    <w:rsid w:val="006B65EF"/>
    <w:rsid w:val="006C257B"/>
    <w:rsid w:val="006C3679"/>
    <w:rsid w:val="006C3E1A"/>
    <w:rsid w:val="006D25AA"/>
    <w:rsid w:val="006D3892"/>
    <w:rsid w:val="006D5283"/>
    <w:rsid w:val="006D65DE"/>
    <w:rsid w:val="006D7B07"/>
    <w:rsid w:val="006E0731"/>
    <w:rsid w:val="006E2E2A"/>
    <w:rsid w:val="006F040E"/>
    <w:rsid w:val="006F3D24"/>
    <w:rsid w:val="00706C6C"/>
    <w:rsid w:val="00707C19"/>
    <w:rsid w:val="00712A90"/>
    <w:rsid w:val="007142EC"/>
    <w:rsid w:val="00714359"/>
    <w:rsid w:val="00714B71"/>
    <w:rsid w:val="007156A6"/>
    <w:rsid w:val="007175DC"/>
    <w:rsid w:val="0072347A"/>
    <w:rsid w:val="0072724C"/>
    <w:rsid w:val="007325A5"/>
    <w:rsid w:val="00732818"/>
    <w:rsid w:val="007334D0"/>
    <w:rsid w:val="00736E66"/>
    <w:rsid w:val="00740CB4"/>
    <w:rsid w:val="00745BB4"/>
    <w:rsid w:val="00745FE2"/>
    <w:rsid w:val="00747426"/>
    <w:rsid w:val="007508FA"/>
    <w:rsid w:val="0075175C"/>
    <w:rsid w:val="00752B4E"/>
    <w:rsid w:val="007535BF"/>
    <w:rsid w:val="0075391F"/>
    <w:rsid w:val="007544F9"/>
    <w:rsid w:val="00761237"/>
    <w:rsid w:val="00761E5F"/>
    <w:rsid w:val="00763D5F"/>
    <w:rsid w:val="00763E82"/>
    <w:rsid w:val="007641F0"/>
    <w:rsid w:val="00764444"/>
    <w:rsid w:val="007648F3"/>
    <w:rsid w:val="00765090"/>
    <w:rsid w:val="00773BCC"/>
    <w:rsid w:val="0077502D"/>
    <w:rsid w:val="00782094"/>
    <w:rsid w:val="0078633C"/>
    <w:rsid w:val="007907DD"/>
    <w:rsid w:val="00790C71"/>
    <w:rsid w:val="00791C90"/>
    <w:rsid w:val="007922D8"/>
    <w:rsid w:val="007A115A"/>
    <w:rsid w:val="007A6169"/>
    <w:rsid w:val="007A732B"/>
    <w:rsid w:val="007B24FE"/>
    <w:rsid w:val="007C2C7B"/>
    <w:rsid w:val="007C41BF"/>
    <w:rsid w:val="007C5AA1"/>
    <w:rsid w:val="007D02C5"/>
    <w:rsid w:val="007D056B"/>
    <w:rsid w:val="007D143A"/>
    <w:rsid w:val="007D3A01"/>
    <w:rsid w:val="007D52C2"/>
    <w:rsid w:val="007E20BD"/>
    <w:rsid w:val="007E45D3"/>
    <w:rsid w:val="007E7428"/>
    <w:rsid w:val="007E7475"/>
    <w:rsid w:val="007F05B2"/>
    <w:rsid w:val="007F1D53"/>
    <w:rsid w:val="007F3143"/>
    <w:rsid w:val="007F6B2A"/>
    <w:rsid w:val="008077FF"/>
    <w:rsid w:val="00813303"/>
    <w:rsid w:val="0081638E"/>
    <w:rsid w:val="00816E3C"/>
    <w:rsid w:val="00820AD0"/>
    <w:rsid w:val="00821402"/>
    <w:rsid w:val="008214C4"/>
    <w:rsid w:val="00823626"/>
    <w:rsid w:val="00823BD6"/>
    <w:rsid w:val="008244D3"/>
    <w:rsid w:val="00827F90"/>
    <w:rsid w:val="0083025C"/>
    <w:rsid w:val="00832446"/>
    <w:rsid w:val="00833A7C"/>
    <w:rsid w:val="00833BE8"/>
    <w:rsid w:val="00836B8A"/>
    <w:rsid w:val="00840242"/>
    <w:rsid w:val="0084280B"/>
    <w:rsid w:val="00843313"/>
    <w:rsid w:val="008440CF"/>
    <w:rsid w:val="00844954"/>
    <w:rsid w:val="00845F2F"/>
    <w:rsid w:val="008518A3"/>
    <w:rsid w:val="00855E69"/>
    <w:rsid w:val="00860A94"/>
    <w:rsid w:val="0086123B"/>
    <w:rsid w:val="00861D48"/>
    <w:rsid w:val="008648B8"/>
    <w:rsid w:val="00864FD9"/>
    <w:rsid w:val="00870E28"/>
    <w:rsid w:val="008736E2"/>
    <w:rsid w:val="00873CC3"/>
    <w:rsid w:val="008763EF"/>
    <w:rsid w:val="00882BD3"/>
    <w:rsid w:val="008835A1"/>
    <w:rsid w:val="008841A9"/>
    <w:rsid w:val="00887606"/>
    <w:rsid w:val="00896656"/>
    <w:rsid w:val="0089794A"/>
    <w:rsid w:val="008A2FD3"/>
    <w:rsid w:val="008B20BA"/>
    <w:rsid w:val="008B33B7"/>
    <w:rsid w:val="008B4325"/>
    <w:rsid w:val="008C0A0C"/>
    <w:rsid w:val="008C0A72"/>
    <w:rsid w:val="008C3691"/>
    <w:rsid w:val="008C4923"/>
    <w:rsid w:val="008D03F1"/>
    <w:rsid w:val="008D4C68"/>
    <w:rsid w:val="008D6011"/>
    <w:rsid w:val="008E059C"/>
    <w:rsid w:val="008E09ED"/>
    <w:rsid w:val="008E15AB"/>
    <w:rsid w:val="008E396C"/>
    <w:rsid w:val="008E6A05"/>
    <w:rsid w:val="008E6C9D"/>
    <w:rsid w:val="008E70DE"/>
    <w:rsid w:val="008F165B"/>
    <w:rsid w:val="008F4023"/>
    <w:rsid w:val="008F5D51"/>
    <w:rsid w:val="008F6E95"/>
    <w:rsid w:val="008F7A84"/>
    <w:rsid w:val="00900CAB"/>
    <w:rsid w:val="0090693D"/>
    <w:rsid w:val="00911385"/>
    <w:rsid w:val="00911D7C"/>
    <w:rsid w:val="00913CAB"/>
    <w:rsid w:val="00913F4B"/>
    <w:rsid w:val="00914690"/>
    <w:rsid w:val="00914E4F"/>
    <w:rsid w:val="00916C3E"/>
    <w:rsid w:val="0091737D"/>
    <w:rsid w:val="00917BE8"/>
    <w:rsid w:val="00923220"/>
    <w:rsid w:val="009322F9"/>
    <w:rsid w:val="00933285"/>
    <w:rsid w:val="009355C2"/>
    <w:rsid w:val="00940543"/>
    <w:rsid w:val="0094215D"/>
    <w:rsid w:val="00945363"/>
    <w:rsid w:val="00950A8A"/>
    <w:rsid w:val="009527F7"/>
    <w:rsid w:val="00952B03"/>
    <w:rsid w:val="00954DC7"/>
    <w:rsid w:val="00956A42"/>
    <w:rsid w:val="00963D8C"/>
    <w:rsid w:val="0096492A"/>
    <w:rsid w:val="00965758"/>
    <w:rsid w:val="00970011"/>
    <w:rsid w:val="00970C41"/>
    <w:rsid w:val="00970D33"/>
    <w:rsid w:val="00971E1E"/>
    <w:rsid w:val="00973903"/>
    <w:rsid w:val="00973C34"/>
    <w:rsid w:val="00974060"/>
    <w:rsid w:val="00974814"/>
    <w:rsid w:val="00980AF7"/>
    <w:rsid w:val="00985542"/>
    <w:rsid w:val="00985B68"/>
    <w:rsid w:val="009878EB"/>
    <w:rsid w:val="00991BA1"/>
    <w:rsid w:val="0099626F"/>
    <w:rsid w:val="00996765"/>
    <w:rsid w:val="00996B8A"/>
    <w:rsid w:val="009A6C82"/>
    <w:rsid w:val="009A7B1C"/>
    <w:rsid w:val="009B2164"/>
    <w:rsid w:val="009B6B19"/>
    <w:rsid w:val="009B70C9"/>
    <w:rsid w:val="009C1AB1"/>
    <w:rsid w:val="009C3A74"/>
    <w:rsid w:val="009C60DA"/>
    <w:rsid w:val="009D11F5"/>
    <w:rsid w:val="009D25C6"/>
    <w:rsid w:val="009D4152"/>
    <w:rsid w:val="009E46A3"/>
    <w:rsid w:val="009F317A"/>
    <w:rsid w:val="009F39AC"/>
    <w:rsid w:val="009F4BC1"/>
    <w:rsid w:val="009F56E5"/>
    <w:rsid w:val="009F65BC"/>
    <w:rsid w:val="00A01A8B"/>
    <w:rsid w:val="00A02344"/>
    <w:rsid w:val="00A06A04"/>
    <w:rsid w:val="00A06DF7"/>
    <w:rsid w:val="00A105C8"/>
    <w:rsid w:val="00A14771"/>
    <w:rsid w:val="00A16228"/>
    <w:rsid w:val="00A23D4C"/>
    <w:rsid w:val="00A3000F"/>
    <w:rsid w:val="00A30744"/>
    <w:rsid w:val="00A310F7"/>
    <w:rsid w:val="00A31F53"/>
    <w:rsid w:val="00A33505"/>
    <w:rsid w:val="00A33CD2"/>
    <w:rsid w:val="00A344B1"/>
    <w:rsid w:val="00A37DF3"/>
    <w:rsid w:val="00A40E9E"/>
    <w:rsid w:val="00A455D1"/>
    <w:rsid w:val="00A46E03"/>
    <w:rsid w:val="00A54B6D"/>
    <w:rsid w:val="00A57EF2"/>
    <w:rsid w:val="00A60F29"/>
    <w:rsid w:val="00A619F7"/>
    <w:rsid w:val="00A61F39"/>
    <w:rsid w:val="00A66C97"/>
    <w:rsid w:val="00A6735C"/>
    <w:rsid w:val="00A7596F"/>
    <w:rsid w:val="00A80040"/>
    <w:rsid w:val="00A80237"/>
    <w:rsid w:val="00A84327"/>
    <w:rsid w:val="00A850AD"/>
    <w:rsid w:val="00A86AAF"/>
    <w:rsid w:val="00A86E65"/>
    <w:rsid w:val="00A87143"/>
    <w:rsid w:val="00A87251"/>
    <w:rsid w:val="00A91791"/>
    <w:rsid w:val="00A952D0"/>
    <w:rsid w:val="00A966C2"/>
    <w:rsid w:val="00A96D49"/>
    <w:rsid w:val="00A971D4"/>
    <w:rsid w:val="00AA17B3"/>
    <w:rsid w:val="00AA4938"/>
    <w:rsid w:val="00AA6B9F"/>
    <w:rsid w:val="00AB21CF"/>
    <w:rsid w:val="00AB2A3C"/>
    <w:rsid w:val="00AB4550"/>
    <w:rsid w:val="00AB793F"/>
    <w:rsid w:val="00AC1C5E"/>
    <w:rsid w:val="00AC45F2"/>
    <w:rsid w:val="00AD3196"/>
    <w:rsid w:val="00AD3FAB"/>
    <w:rsid w:val="00AD7D6F"/>
    <w:rsid w:val="00AE0BE5"/>
    <w:rsid w:val="00AE1164"/>
    <w:rsid w:val="00AE3537"/>
    <w:rsid w:val="00B01F7D"/>
    <w:rsid w:val="00B03C23"/>
    <w:rsid w:val="00B03F16"/>
    <w:rsid w:val="00B04B32"/>
    <w:rsid w:val="00B05A6F"/>
    <w:rsid w:val="00B05E34"/>
    <w:rsid w:val="00B05EBA"/>
    <w:rsid w:val="00B06192"/>
    <w:rsid w:val="00B106CA"/>
    <w:rsid w:val="00B116D5"/>
    <w:rsid w:val="00B12D80"/>
    <w:rsid w:val="00B14A57"/>
    <w:rsid w:val="00B15AB9"/>
    <w:rsid w:val="00B20530"/>
    <w:rsid w:val="00B20C6D"/>
    <w:rsid w:val="00B26CD7"/>
    <w:rsid w:val="00B27699"/>
    <w:rsid w:val="00B31774"/>
    <w:rsid w:val="00B35AE4"/>
    <w:rsid w:val="00B36EE2"/>
    <w:rsid w:val="00B37B26"/>
    <w:rsid w:val="00B37E7E"/>
    <w:rsid w:val="00B4377D"/>
    <w:rsid w:val="00B444E1"/>
    <w:rsid w:val="00B50547"/>
    <w:rsid w:val="00B50B6E"/>
    <w:rsid w:val="00B513AA"/>
    <w:rsid w:val="00B521A3"/>
    <w:rsid w:val="00B607DE"/>
    <w:rsid w:val="00B652BD"/>
    <w:rsid w:val="00B70E38"/>
    <w:rsid w:val="00B71469"/>
    <w:rsid w:val="00B7150D"/>
    <w:rsid w:val="00B71712"/>
    <w:rsid w:val="00B748C4"/>
    <w:rsid w:val="00B75768"/>
    <w:rsid w:val="00B75D38"/>
    <w:rsid w:val="00B82879"/>
    <w:rsid w:val="00B8365A"/>
    <w:rsid w:val="00B844EE"/>
    <w:rsid w:val="00B861B2"/>
    <w:rsid w:val="00B8752C"/>
    <w:rsid w:val="00B90235"/>
    <w:rsid w:val="00B91CDF"/>
    <w:rsid w:val="00B92ADB"/>
    <w:rsid w:val="00B941B6"/>
    <w:rsid w:val="00B941DC"/>
    <w:rsid w:val="00B953C5"/>
    <w:rsid w:val="00B97ACC"/>
    <w:rsid w:val="00BA0752"/>
    <w:rsid w:val="00BA2711"/>
    <w:rsid w:val="00BA38CF"/>
    <w:rsid w:val="00BA54FA"/>
    <w:rsid w:val="00BB0BF8"/>
    <w:rsid w:val="00BB14BB"/>
    <w:rsid w:val="00BB2478"/>
    <w:rsid w:val="00BB3D22"/>
    <w:rsid w:val="00BB58E4"/>
    <w:rsid w:val="00BC0AAA"/>
    <w:rsid w:val="00BC2B28"/>
    <w:rsid w:val="00BC572C"/>
    <w:rsid w:val="00BC60CB"/>
    <w:rsid w:val="00BD05E1"/>
    <w:rsid w:val="00BD0EF3"/>
    <w:rsid w:val="00BD503E"/>
    <w:rsid w:val="00BD54A5"/>
    <w:rsid w:val="00BD71B8"/>
    <w:rsid w:val="00BD7448"/>
    <w:rsid w:val="00BE0096"/>
    <w:rsid w:val="00BE17C0"/>
    <w:rsid w:val="00BE4617"/>
    <w:rsid w:val="00BE5B1B"/>
    <w:rsid w:val="00BE6FBD"/>
    <w:rsid w:val="00BF2930"/>
    <w:rsid w:val="00BF4D09"/>
    <w:rsid w:val="00BF6C8F"/>
    <w:rsid w:val="00C04561"/>
    <w:rsid w:val="00C05096"/>
    <w:rsid w:val="00C11D1D"/>
    <w:rsid w:val="00C11F76"/>
    <w:rsid w:val="00C1263E"/>
    <w:rsid w:val="00C14A21"/>
    <w:rsid w:val="00C16B2A"/>
    <w:rsid w:val="00C2038D"/>
    <w:rsid w:val="00C20953"/>
    <w:rsid w:val="00C20992"/>
    <w:rsid w:val="00C21EFF"/>
    <w:rsid w:val="00C236DD"/>
    <w:rsid w:val="00C2516A"/>
    <w:rsid w:val="00C30BB5"/>
    <w:rsid w:val="00C31157"/>
    <w:rsid w:val="00C3325D"/>
    <w:rsid w:val="00C43B90"/>
    <w:rsid w:val="00C57CE7"/>
    <w:rsid w:val="00C6120A"/>
    <w:rsid w:val="00C6234E"/>
    <w:rsid w:val="00C725F1"/>
    <w:rsid w:val="00C74D71"/>
    <w:rsid w:val="00C77549"/>
    <w:rsid w:val="00C77A21"/>
    <w:rsid w:val="00C8263F"/>
    <w:rsid w:val="00C840CB"/>
    <w:rsid w:val="00C87434"/>
    <w:rsid w:val="00C93D75"/>
    <w:rsid w:val="00C940B0"/>
    <w:rsid w:val="00C97BC4"/>
    <w:rsid w:val="00CA2880"/>
    <w:rsid w:val="00CA3A49"/>
    <w:rsid w:val="00CA793B"/>
    <w:rsid w:val="00CB21DB"/>
    <w:rsid w:val="00CC2147"/>
    <w:rsid w:val="00CD6119"/>
    <w:rsid w:val="00CD654E"/>
    <w:rsid w:val="00CD6F1A"/>
    <w:rsid w:val="00CE0D3F"/>
    <w:rsid w:val="00CE7239"/>
    <w:rsid w:val="00CF0BBA"/>
    <w:rsid w:val="00CF0CFA"/>
    <w:rsid w:val="00CF2B20"/>
    <w:rsid w:val="00CF43CC"/>
    <w:rsid w:val="00CF600A"/>
    <w:rsid w:val="00D02773"/>
    <w:rsid w:val="00D043E0"/>
    <w:rsid w:val="00D04BFB"/>
    <w:rsid w:val="00D06F7B"/>
    <w:rsid w:val="00D07562"/>
    <w:rsid w:val="00D14328"/>
    <w:rsid w:val="00D14F09"/>
    <w:rsid w:val="00D15868"/>
    <w:rsid w:val="00D16010"/>
    <w:rsid w:val="00D16EA8"/>
    <w:rsid w:val="00D17741"/>
    <w:rsid w:val="00D237D8"/>
    <w:rsid w:val="00D23EAD"/>
    <w:rsid w:val="00D30710"/>
    <w:rsid w:val="00D31118"/>
    <w:rsid w:val="00D31DAB"/>
    <w:rsid w:val="00D33568"/>
    <w:rsid w:val="00D33D9E"/>
    <w:rsid w:val="00D348E7"/>
    <w:rsid w:val="00D353C3"/>
    <w:rsid w:val="00D372E4"/>
    <w:rsid w:val="00D46F1F"/>
    <w:rsid w:val="00D50027"/>
    <w:rsid w:val="00D50A07"/>
    <w:rsid w:val="00D5190B"/>
    <w:rsid w:val="00D523A2"/>
    <w:rsid w:val="00D5542E"/>
    <w:rsid w:val="00D62DAA"/>
    <w:rsid w:val="00D65F55"/>
    <w:rsid w:val="00D67CF5"/>
    <w:rsid w:val="00D71BEB"/>
    <w:rsid w:val="00D73F89"/>
    <w:rsid w:val="00D74AFF"/>
    <w:rsid w:val="00D777DE"/>
    <w:rsid w:val="00D8264D"/>
    <w:rsid w:val="00D83EAC"/>
    <w:rsid w:val="00D86406"/>
    <w:rsid w:val="00D871B7"/>
    <w:rsid w:val="00D922E6"/>
    <w:rsid w:val="00D92EE1"/>
    <w:rsid w:val="00D93371"/>
    <w:rsid w:val="00D95DB3"/>
    <w:rsid w:val="00DA0153"/>
    <w:rsid w:val="00DA0759"/>
    <w:rsid w:val="00DA2760"/>
    <w:rsid w:val="00DB0082"/>
    <w:rsid w:val="00DB0634"/>
    <w:rsid w:val="00DC593D"/>
    <w:rsid w:val="00DC6549"/>
    <w:rsid w:val="00DD06F0"/>
    <w:rsid w:val="00DD29E3"/>
    <w:rsid w:val="00DD3A70"/>
    <w:rsid w:val="00DD4FAA"/>
    <w:rsid w:val="00DD62C8"/>
    <w:rsid w:val="00DE0376"/>
    <w:rsid w:val="00DE32E9"/>
    <w:rsid w:val="00DE52AD"/>
    <w:rsid w:val="00DE5E6E"/>
    <w:rsid w:val="00DE614E"/>
    <w:rsid w:val="00DE7336"/>
    <w:rsid w:val="00DE7CA7"/>
    <w:rsid w:val="00DF0E65"/>
    <w:rsid w:val="00DF3ADB"/>
    <w:rsid w:val="00DF500C"/>
    <w:rsid w:val="00DF5449"/>
    <w:rsid w:val="00DF5CF0"/>
    <w:rsid w:val="00DF6908"/>
    <w:rsid w:val="00DF6B5D"/>
    <w:rsid w:val="00E01E29"/>
    <w:rsid w:val="00E032BB"/>
    <w:rsid w:val="00E03EA5"/>
    <w:rsid w:val="00E040CA"/>
    <w:rsid w:val="00E05CEB"/>
    <w:rsid w:val="00E10635"/>
    <w:rsid w:val="00E12C93"/>
    <w:rsid w:val="00E15A46"/>
    <w:rsid w:val="00E169E9"/>
    <w:rsid w:val="00E17DD5"/>
    <w:rsid w:val="00E22FD7"/>
    <w:rsid w:val="00E231AC"/>
    <w:rsid w:val="00E270A3"/>
    <w:rsid w:val="00E32A4A"/>
    <w:rsid w:val="00E35B1F"/>
    <w:rsid w:val="00E36D98"/>
    <w:rsid w:val="00E36F68"/>
    <w:rsid w:val="00E44D66"/>
    <w:rsid w:val="00E47024"/>
    <w:rsid w:val="00E51B00"/>
    <w:rsid w:val="00E57440"/>
    <w:rsid w:val="00E64178"/>
    <w:rsid w:val="00E71EDA"/>
    <w:rsid w:val="00E72985"/>
    <w:rsid w:val="00E87AC8"/>
    <w:rsid w:val="00E9553C"/>
    <w:rsid w:val="00E96270"/>
    <w:rsid w:val="00E97704"/>
    <w:rsid w:val="00E97D4C"/>
    <w:rsid w:val="00EA4553"/>
    <w:rsid w:val="00EB2808"/>
    <w:rsid w:val="00EB470C"/>
    <w:rsid w:val="00EB6306"/>
    <w:rsid w:val="00EC28A6"/>
    <w:rsid w:val="00EC368A"/>
    <w:rsid w:val="00EC4252"/>
    <w:rsid w:val="00ED0C61"/>
    <w:rsid w:val="00ED1847"/>
    <w:rsid w:val="00ED2E00"/>
    <w:rsid w:val="00EE1E2D"/>
    <w:rsid w:val="00EE42B1"/>
    <w:rsid w:val="00EE62AB"/>
    <w:rsid w:val="00EE73A2"/>
    <w:rsid w:val="00EE7ABB"/>
    <w:rsid w:val="00EF11C6"/>
    <w:rsid w:val="00EF22CB"/>
    <w:rsid w:val="00F01491"/>
    <w:rsid w:val="00F01FEA"/>
    <w:rsid w:val="00F02985"/>
    <w:rsid w:val="00F02F79"/>
    <w:rsid w:val="00F04359"/>
    <w:rsid w:val="00F11445"/>
    <w:rsid w:val="00F143CA"/>
    <w:rsid w:val="00F14C4A"/>
    <w:rsid w:val="00F203D0"/>
    <w:rsid w:val="00F23841"/>
    <w:rsid w:val="00F26F36"/>
    <w:rsid w:val="00F2770E"/>
    <w:rsid w:val="00F27F04"/>
    <w:rsid w:val="00F3509C"/>
    <w:rsid w:val="00F36A45"/>
    <w:rsid w:val="00F37ADD"/>
    <w:rsid w:val="00F409F3"/>
    <w:rsid w:val="00F42851"/>
    <w:rsid w:val="00F478F1"/>
    <w:rsid w:val="00F517D6"/>
    <w:rsid w:val="00F51C9A"/>
    <w:rsid w:val="00F524BE"/>
    <w:rsid w:val="00F526C4"/>
    <w:rsid w:val="00F608C8"/>
    <w:rsid w:val="00F6678B"/>
    <w:rsid w:val="00F66949"/>
    <w:rsid w:val="00F70F65"/>
    <w:rsid w:val="00F74A2A"/>
    <w:rsid w:val="00F751CA"/>
    <w:rsid w:val="00F778EE"/>
    <w:rsid w:val="00F77B02"/>
    <w:rsid w:val="00F77FFB"/>
    <w:rsid w:val="00F816DB"/>
    <w:rsid w:val="00F81D63"/>
    <w:rsid w:val="00F841D3"/>
    <w:rsid w:val="00F87ED6"/>
    <w:rsid w:val="00F92B3E"/>
    <w:rsid w:val="00F93387"/>
    <w:rsid w:val="00F94251"/>
    <w:rsid w:val="00F95690"/>
    <w:rsid w:val="00FA03A7"/>
    <w:rsid w:val="00FA3C1A"/>
    <w:rsid w:val="00FA54C0"/>
    <w:rsid w:val="00FA7221"/>
    <w:rsid w:val="00FB1847"/>
    <w:rsid w:val="00FB658B"/>
    <w:rsid w:val="00FC07A6"/>
    <w:rsid w:val="00FC1220"/>
    <w:rsid w:val="00FC13CE"/>
    <w:rsid w:val="00FC2D2E"/>
    <w:rsid w:val="00FC2FCE"/>
    <w:rsid w:val="00FC3515"/>
    <w:rsid w:val="00FC593A"/>
    <w:rsid w:val="00FD11B3"/>
    <w:rsid w:val="00FD1EAA"/>
    <w:rsid w:val="00FD2650"/>
    <w:rsid w:val="00FD653D"/>
    <w:rsid w:val="00FE0541"/>
    <w:rsid w:val="00FE07BE"/>
    <w:rsid w:val="00FE217A"/>
    <w:rsid w:val="00FE2C40"/>
    <w:rsid w:val="00FE33C9"/>
    <w:rsid w:val="00FE3CD4"/>
    <w:rsid w:val="00FE4C73"/>
    <w:rsid w:val="00FE5A8F"/>
    <w:rsid w:val="00FF0DD2"/>
    <w:rsid w:val="00FF0F44"/>
    <w:rsid w:val="00FF3652"/>
    <w:rsid w:val="00FF540D"/>
    <w:rsid w:val="012963D1"/>
    <w:rsid w:val="01893081"/>
    <w:rsid w:val="021F76F7"/>
    <w:rsid w:val="02B51E78"/>
    <w:rsid w:val="03095179"/>
    <w:rsid w:val="0364714F"/>
    <w:rsid w:val="038F28EB"/>
    <w:rsid w:val="04AB275C"/>
    <w:rsid w:val="04FC3752"/>
    <w:rsid w:val="0540419B"/>
    <w:rsid w:val="05BF16B5"/>
    <w:rsid w:val="05E61EA8"/>
    <w:rsid w:val="06163BD0"/>
    <w:rsid w:val="0674696C"/>
    <w:rsid w:val="069B44B6"/>
    <w:rsid w:val="06D900C1"/>
    <w:rsid w:val="070E5C3B"/>
    <w:rsid w:val="0723690D"/>
    <w:rsid w:val="076C48AD"/>
    <w:rsid w:val="07C70F36"/>
    <w:rsid w:val="07EE7269"/>
    <w:rsid w:val="08436271"/>
    <w:rsid w:val="086E0FBA"/>
    <w:rsid w:val="08990E1A"/>
    <w:rsid w:val="09233498"/>
    <w:rsid w:val="094672DC"/>
    <w:rsid w:val="0A005F0F"/>
    <w:rsid w:val="0A736968"/>
    <w:rsid w:val="0A9E7577"/>
    <w:rsid w:val="0AF65439"/>
    <w:rsid w:val="0B173FCD"/>
    <w:rsid w:val="0C1803AA"/>
    <w:rsid w:val="0C333E8A"/>
    <w:rsid w:val="0C4049C7"/>
    <w:rsid w:val="0C4C1CEE"/>
    <w:rsid w:val="0C4C1FEA"/>
    <w:rsid w:val="0C6B4763"/>
    <w:rsid w:val="0D2A2687"/>
    <w:rsid w:val="0D400A17"/>
    <w:rsid w:val="0D865159"/>
    <w:rsid w:val="0D9725C3"/>
    <w:rsid w:val="0DA83E92"/>
    <w:rsid w:val="0DDF1354"/>
    <w:rsid w:val="0DF67481"/>
    <w:rsid w:val="0E1A5759"/>
    <w:rsid w:val="0E3E559D"/>
    <w:rsid w:val="0E4538D5"/>
    <w:rsid w:val="0EF94DF0"/>
    <w:rsid w:val="0F5B15C4"/>
    <w:rsid w:val="0F727BEB"/>
    <w:rsid w:val="0FC348F9"/>
    <w:rsid w:val="0FE72AE3"/>
    <w:rsid w:val="101C6144"/>
    <w:rsid w:val="102A78D3"/>
    <w:rsid w:val="10352C85"/>
    <w:rsid w:val="10B07152"/>
    <w:rsid w:val="10E60ACB"/>
    <w:rsid w:val="10E97B4F"/>
    <w:rsid w:val="10FC5B97"/>
    <w:rsid w:val="11436B8A"/>
    <w:rsid w:val="11AE71B1"/>
    <w:rsid w:val="11F579C6"/>
    <w:rsid w:val="122908B0"/>
    <w:rsid w:val="12481B93"/>
    <w:rsid w:val="125B796D"/>
    <w:rsid w:val="12944C26"/>
    <w:rsid w:val="12FC6866"/>
    <w:rsid w:val="138F15FF"/>
    <w:rsid w:val="139F47AE"/>
    <w:rsid w:val="13A775CE"/>
    <w:rsid w:val="14417879"/>
    <w:rsid w:val="14A4228A"/>
    <w:rsid w:val="14D82FB4"/>
    <w:rsid w:val="14F66082"/>
    <w:rsid w:val="158D68D9"/>
    <w:rsid w:val="158F2077"/>
    <w:rsid w:val="1590564B"/>
    <w:rsid w:val="15CC4F8F"/>
    <w:rsid w:val="15E7407B"/>
    <w:rsid w:val="162645CA"/>
    <w:rsid w:val="1629630D"/>
    <w:rsid w:val="16396334"/>
    <w:rsid w:val="164F6C9E"/>
    <w:rsid w:val="166B4977"/>
    <w:rsid w:val="16A24352"/>
    <w:rsid w:val="176C4E14"/>
    <w:rsid w:val="179D7F02"/>
    <w:rsid w:val="17A14176"/>
    <w:rsid w:val="17C416BC"/>
    <w:rsid w:val="17DB4781"/>
    <w:rsid w:val="17DC418A"/>
    <w:rsid w:val="17FF2A1A"/>
    <w:rsid w:val="18CD2A1D"/>
    <w:rsid w:val="18F15CC4"/>
    <w:rsid w:val="19347A35"/>
    <w:rsid w:val="19CB1ED2"/>
    <w:rsid w:val="19FD58C0"/>
    <w:rsid w:val="1A7F7A6C"/>
    <w:rsid w:val="1AEF20E2"/>
    <w:rsid w:val="1B264D50"/>
    <w:rsid w:val="1BD46244"/>
    <w:rsid w:val="1BDE03B5"/>
    <w:rsid w:val="1C0506BF"/>
    <w:rsid w:val="1C860D76"/>
    <w:rsid w:val="1CA00CDA"/>
    <w:rsid w:val="1CCD3370"/>
    <w:rsid w:val="1D175E49"/>
    <w:rsid w:val="1D3E448E"/>
    <w:rsid w:val="1DA5322A"/>
    <w:rsid w:val="1DD903EC"/>
    <w:rsid w:val="1E0A53B8"/>
    <w:rsid w:val="1E3D57D7"/>
    <w:rsid w:val="1F2845DF"/>
    <w:rsid w:val="1F3C7E87"/>
    <w:rsid w:val="1F514E30"/>
    <w:rsid w:val="1F750E76"/>
    <w:rsid w:val="202B7803"/>
    <w:rsid w:val="203E7A0B"/>
    <w:rsid w:val="20445914"/>
    <w:rsid w:val="20610DF6"/>
    <w:rsid w:val="20E069D9"/>
    <w:rsid w:val="20EB0AAC"/>
    <w:rsid w:val="20FF42BC"/>
    <w:rsid w:val="212427DE"/>
    <w:rsid w:val="219069DF"/>
    <w:rsid w:val="219F4D4D"/>
    <w:rsid w:val="21BA5FBB"/>
    <w:rsid w:val="221A1FE3"/>
    <w:rsid w:val="22B03C83"/>
    <w:rsid w:val="22C44810"/>
    <w:rsid w:val="22ED03A2"/>
    <w:rsid w:val="23195337"/>
    <w:rsid w:val="233448D4"/>
    <w:rsid w:val="23582946"/>
    <w:rsid w:val="244C6891"/>
    <w:rsid w:val="245A5504"/>
    <w:rsid w:val="24F740DF"/>
    <w:rsid w:val="25285E4E"/>
    <w:rsid w:val="259D65D5"/>
    <w:rsid w:val="25A8480B"/>
    <w:rsid w:val="2674613E"/>
    <w:rsid w:val="26B4385E"/>
    <w:rsid w:val="26D36AFD"/>
    <w:rsid w:val="26F94EA7"/>
    <w:rsid w:val="27107135"/>
    <w:rsid w:val="27863D0E"/>
    <w:rsid w:val="27D04D49"/>
    <w:rsid w:val="280502CA"/>
    <w:rsid w:val="28290E14"/>
    <w:rsid w:val="285C16D0"/>
    <w:rsid w:val="28DB38A7"/>
    <w:rsid w:val="28DC4DEF"/>
    <w:rsid w:val="29227115"/>
    <w:rsid w:val="29994E5A"/>
    <w:rsid w:val="29F239B8"/>
    <w:rsid w:val="2A806399"/>
    <w:rsid w:val="2AA756D4"/>
    <w:rsid w:val="2B330D3B"/>
    <w:rsid w:val="2B9D3EEE"/>
    <w:rsid w:val="2C4C6F5E"/>
    <w:rsid w:val="2C98377A"/>
    <w:rsid w:val="2D1927F6"/>
    <w:rsid w:val="2D2E3520"/>
    <w:rsid w:val="2DFA7CFB"/>
    <w:rsid w:val="2FCF6423"/>
    <w:rsid w:val="2FD5167A"/>
    <w:rsid w:val="2FFC70A8"/>
    <w:rsid w:val="304F2C82"/>
    <w:rsid w:val="30E5635B"/>
    <w:rsid w:val="3102196F"/>
    <w:rsid w:val="314A64B2"/>
    <w:rsid w:val="314C4AF8"/>
    <w:rsid w:val="31901BE3"/>
    <w:rsid w:val="3277060C"/>
    <w:rsid w:val="32837911"/>
    <w:rsid w:val="32B1158E"/>
    <w:rsid w:val="32B373FF"/>
    <w:rsid w:val="33783DA3"/>
    <w:rsid w:val="33A64FB1"/>
    <w:rsid w:val="348B5061"/>
    <w:rsid w:val="34B465A8"/>
    <w:rsid w:val="34BA5E17"/>
    <w:rsid w:val="34DA58AA"/>
    <w:rsid w:val="35366FDE"/>
    <w:rsid w:val="354C7199"/>
    <w:rsid w:val="35D4657E"/>
    <w:rsid w:val="35DB5564"/>
    <w:rsid w:val="36142A45"/>
    <w:rsid w:val="362A71D0"/>
    <w:rsid w:val="364C5F2E"/>
    <w:rsid w:val="3690196F"/>
    <w:rsid w:val="36B01F74"/>
    <w:rsid w:val="36C13D04"/>
    <w:rsid w:val="36F360EE"/>
    <w:rsid w:val="37111ABF"/>
    <w:rsid w:val="3747315D"/>
    <w:rsid w:val="37A420E7"/>
    <w:rsid w:val="37B417A9"/>
    <w:rsid w:val="3816019E"/>
    <w:rsid w:val="384E76E9"/>
    <w:rsid w:val="389813C9"/>
    <w:rsid w:val="39901563"/>
    <w:rsid w:val="39BD38F5"/>
    <w:rsid w:val="39DE3943"/>
    <w:rsid w:val="3AEB7927"/>
    <w:rsid w:val="3BA4301F"/>
    <w:rsid w:val="3C3B1243"/>
    <w:rsid w:val="3C426D76"/>
    <w:rsid w:val="3C576D70"/>
    <w:rsid w:val="3C7428E0"/>
    <w:rsid w:val="3C8C2744"/>
    <w:rsid w:val="3CE3211C"/>
    <w:rsid w:val="3D2D109A"/>
    <w:rsid w:val="3D6A6D5A"/>
    <w:rsid w:val="3DD209B1"/>
    <w:rsid w:val="3DF15E2F"/>
    <w:rsid w:val="3F171C08"/>
    <w:rsid w:val="3F2008E8"/>
    <w:rsid w:val="3F3F4284"/>
    <w:rsid w:val="3F7539CB"/>
    <w:rsid w:val="3FE57C29"/>
    <w:rsid w:val="3FFF58BB"/>
    <w:rsid w:val="40247980"/>
    <w:rsid w:val="40272F65"/>
    <w:rsid w:val="402A3D7D"/>
    <w:rsid w:val="40F54F33"/>
    <w:rsid w:val="41623F5D"/>
    <w:rsid w:val="41D053CF"/>
    <w:rsid w:val="42355C23"/>
    <w:rsid w:val="423E1C0E"/>
    <w:rsid w:val="42640A3B"/>
    <w:rsid w:val="42737F96"/>
    <w:rsid w:val="42EB46F6"/>
    <w:rsid w:val="43505736"/>
    <w:rsid w:val="43852826"/>
    <w:rsid w:val="43B01D9D"/>
    <w:rsid w:val="43B7212A"/>
    <w:rsid w:val="43E2003C"/>
    <w:rsid w:val="44880F4E"/>
    <w:rsid w:val="449F1759"/>
    <w:rsid w:val="44C76CB2"/>
    <w:rsid w:val="44DB64C7"/>
    <w:rsid w:val="4587700D"/>
    <w:rsid w:val="46250C79"/>
    <w:rsid w:val="46283E33"/>
    <w:rsid w:val="4643216B"/>
    <w:rsid w:val="47886FCB"/>
    <w:rsid w:val="47A00ED9"/>
    <w:rsid w:val="47C35668"/>
    <w:rsid w:val="47F40424"/>
    <w:rsid w:val="480E0FA1"/>
    <w:rsid w:val="48545B30"/>
    <w:rsid w:val="486A311F"/>
    <w:rsid w:val="488C13E8"/>
    <w:rsid w:val="48D3359B"/>
    <w:rsid w:val="491A2DB7"/>
    <w:rsid w:val="498A52BF"/>
    <w:rsid w:val="498E39D9"/>
    <w:rsid w:val="4A381DF8"/>
    <w:rsid w:val="4A5B1F02"/>
    <w:rsid w:val="4A9011F8"/>
    <w:rsid w:val="4B3378B1"/>
    <w:rsid w:val="4BE52458"/>
    <w:rsid w:val="4C257068"/>
    <w:rsid w:val="4C2C6FF4"/>
    <w:rsid w:val="4C4812F4"/>
    <w:rsid w:val="4C6627D2"/>
    <w:rsid w:val="4CDD73EB"/>
    <w:rsid w:val="4CE030A6"/>
    <w:rsid w:val="4D555A3C"/>
    <w:rsid w:val="4DC73841"/>
    <w:rsid w:val="4E3D4576"/>
    <w:rsid w:val="4F6434FE"/>
    <w:rsid w:val="504216C8"/>
    <w:rsid w:val="507A0124"/>
    <w:rsid w:val="507E28D0"/>
    <w:rsid w:val="50872240"/>
    <w:rsid w:val="5096619E"/>
    <w:rsid w:val="51034E96"/>
    <w:rsid w:val="51B072E6"/>
    <w:rsid w:val="51BD25BD"/>
    <w:rsid w:val="52137552"/>
    <w:rsid w:val="52455462"/>
    <w:rsid w:val="525842AB"/>
    <w:rsid w:val="52987DAF"/>
    <w:rsid w:val="529F1FB2"/>
    <w:rsid w:val="52B470A8"/>
    <w:rsid w:val="52F86EED"/>
    <w:rsid w:val="53BF0489"/>
    <w:rsid w:val="53C211CE"/>
    <w:rsid w:val="54175A5E"/>
    <w:rsid w:val="541D3E63"/>
    <w:rsid w:val="5494148E"/>
    <w:rsid w:val="551462D7"/>
    <w:rsid w:val="552704A8"/>
    <w:rsid w:val="55A065B3"/>
    <w:rsid w:val="55A44CD2"/>
    <w:rsid w:val="55D63CD2"/>
    <w:rsid w:val="55F6649E"/>
    <w:rsid w:val="56464D1F"/>
    <w:rsid w:val="564D26B2"/>
    <w:rsid w:val="56632F88"/>
    <w:rsid w:val="566F5E72"/>
    <w:rsid w:val="56951D0F"/>
    <w:rsid w:val="56CE5134"/>
    <w:rsid w:val="56D86EBD"/>
    <w:rsid w:val="57542FB4"/>
    <w:rsid w:val="577C2A72"/>
    <w:rsid w:val="57CE6FA0"/>
    <w:rsid w:val="57FC64CE"/>
    <w:rsid w:val="58816A25"/>
    <w:rsid w:val="588D3228"/>
    <w:rsid w:val="58967125"/>
    <w:rsid w:val="58E464D3"/>
    <w:rsid w:val="590D4B03"/>
    <w:rsid w:val="59352109"/>
    <w:rsid w:val="594207AC"/>
    <w:rsid w:val="594804EC"/>
    <w:rsid w:val="595D7C0E"/>
    <w:rsid w:val="59BF7208"/>
    <w:rsid w:val="59FF669E"/>
    <w:rsid w:val="5A25280C"/>
    <w:rsid w:val="5A845E4A"/>
    <w:rsid w:val="5AB365C0"/>
    <w:rsid w:val="5AC3141A"/>
    <w:rsid w:val="5B443A98"/>
    <w:rsid w:val="5CA01217"/>
    <w:rsid w:val="5D287CF9"/>
    <w:rsid w:val="5D2B5074"/>
    <w:rsid w:val="5D357EB8"/>
    <w:rsid w:val="5D604078"/>
    <w:rsid w:val="5DA6464E"/>
    <w:rsid w:val="5DCD554A"/>
    <w:rsid w:val="5DCE0D8D"/>
    <w:rsid w:val="5E5141F4"/>
    <w:rsid w:val="5E924CD9"/>
    <w:rsid w:val="5ED76C44"/>
    <w:rsid w:val="5EEC33C7"/>
    <w:rsid w:val="5F017BE8"/>
    <w:rsid w:val="5F174805"/>
    <w:rsid w:val="5F576220"/>
    <w:rsid w:val="604A60A8"/>
    <w:rsid w:val="60820FE6"/>
    <w:rsid w:val="60FC761B"/>
    <w:rsid w:val="61A86940"/>
    <w:rsid w:val="61D32F76"/>
    <w:rsid w:val="61FF3441"/>
    <w:rsid w:val="627F274F"/>
    <w:rsid w:val="62B2062C"/>
    <w:rsid w:val="62BD489A"/>
    <w:rsid w:val="639F2757"/>
    <w:rsid w:val="64EB694B"/>
    <w:rsid w:val="660F025F"/>
    <w:rsid w:val="66557993"/>
    <w:rsid w:val="66CD49BD"/>
    <w:rsid w:val="671E2A5E"/>
    <w:rsid w:val="67A030A9"/>
    <w:rsid w:val="67A166B2"/>
    <w:rsid w:val="680B5A27"/>
    <w:rsid w:val="681E19AD"/>
    <w:rsid w:val="682A0171"/>
    <w:rsid w:val="68DE463A"/>
    <w:rsid w:val="69C514B8"/>
    <w:rsid w:val="6A18752C"/>
    <w:rsid w:val="6A6668B3"/>
    <w:rsid w:val="6A7C7992"/>
    <w:rsid w:val="6A946469"/>
    <w:rsid w:val="6AF72DA4"/>
    <w:rsid w:val="6B866A39"/>
    <w:rsid w:val="6B8673ED"/>
    <w:rsid w:val="6C542116"/>
    <w:rsid w:val="6D0C5A57"/>
    <w:rsid w:val="6D712EAE"/>
    <w:rsid w:val="6DA6449C"/>
    <w:rsid w:val="6DCF2024"/>
    <w:rsid w:val="6DDB3B47"/>
    <w:rsid w:val="6ECB01E4"/>
    <w:rsid w:val="6F1977E1"/>
    <w:rsid w:val="6F1A444A"/>
    <w:rsid w:val="6F33528F"/>
    <w:rsid w:val="6F55097B"/>
    <w:rsid w:val="6F674E3C"/>
    <w:rsid w:val="6FE11578"/>
    <w:rsid w:val="6FE43D85"/>
    <w:rsid w:val="70351E52"/>
    <w:rsid w:val="709E5FE1"/>
    <w:rsid w:val="70E445CC"/>
    <w:rsid w:val="710D757E"/>
    <w:rsid w:val="71263BCE"/>
    <w:rsid w:val="71A95018"/>
    <w:rsid w:val="71CF2B21"/>
    <w:rsid w:val="71F10616"/>
    <w:rsid w:val="71F24697"/>
    <w:rsid w:val="72291B7B"/>
    <w:rsid w:val="722C48F1"/>
    <w:rsid w:val="73F7329B"/>
    <w:rsid w:val="742A0514"/>
    <w:rsid w:val="74C10B09"/>
    <w:rsid w:val="74C173D8"/>
    <w:rsid w:val="75976AFF"/>
    <w:rsid w:val="75FC2CFF"/>
    <w:rsid w:val="76543291"/>
    <w:rsid w:val="76F80100"/>
    <w:rsid w:val="772D1963"/>
    <w:rsid w:val="77413F9C"/>
    <w:rsid w:val="77D3529D"/>
    <w:rsid w:val="77F358D4"/>
    <w:rsid w:val="78B103C4"/>
    <w:rsid w:val="78EA20C5"/>
    <w:rsid w:val="79011004"/>
    <w:rsid w:val="795424C1"/>
    <w:rsid w:val="797E5FC8"/>
    <w:rsid w:val="79DA2E27"/>
    <w:rsid w:val="79F64290"/>
    <w:rsid w:val="7A573CFE"/>
    <w:rsid w:val="7A5B16EC"/>
    <w:rsid w:val="7A7578E6"/>
    <w:rsid w:val="7AB409C2"/>
    <w:rsid w:val="7B0B3729"/>
    <w:rsid w:val="7B344F2A"/>
    <w:rsid w:val="7B4B0FDD"/>
    <w:rsid w:val="7BB333B8"/>
    <w:rsid w:val="7BCB2B75"/>
    <w:rsid w:val="7BCD33CD"/>
    <w:rsid w:val="7C697AF4"/>
    <w:rsid w:val="7C806D8F"/>
    <w:rsid w:val="7D2723C0"/>
    <w:rsid w:val="7DB02211"/>
    <w:rsid w:val="7DB70198"/>
    <w:rsid w:val="7DB84D23"/>
    <w:rsid w:val="7E6333FD"/>
    <w:rsid w:val="7EE00D16"/>
    <w:rsid w:val="7F1A1E24"/>
    <w:rsid w:val="7F1A5713"/>
    <w:rsid w:val="7F1D629A"/>
    <w:rsid w:val="7F407108"/>
    <w:rsid w:val="7FB720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微软雅黑"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unhideWhenUsed/>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4"/>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adjustRightInd w:val="0"/>
      <w:snapToGrid w:val="0"/>
      <w:spacing w:before="100" w:beforeAutospacing="1" w:after="100" w:afterAutospacing="1"/>
      <w:jc w:val="left"/>
    </w:pPr>
    <w:rPr>
      <w:rFonts w:ascii="Tahoma" w:hAnsi="Tahoma" w:eastAsia="微软雅黑" w:cs="Times New Roman"/>
      <w:kern w:val="0"/>
      <w:sz w:val="24"/>
    </w:rPr>
  </w:style>
  <w:style w:type="character" w:styleId="8">
    <w:name w:val="Hyperlink"/>
    <w:basedOn w:val="7"/>
    <w:unhideWhenUsed/>
    <w:qFormat/>
    <w:uiPriority w:val="99"/>
    <w:rPr>
      <w:color w:val="0000FF"/>
      <w:u w:val="single"/>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1">
    <w:name w:val="页眉 Char"/>
    <w:basedOn w:val="7"/>
    <w:link w:val="5"/>
    <w:semiHidden/>
    <w:qFormat/>
    <w:uiPriority w:val="99"/>
    <w:rPr>
      <w:sz w:val="18"/>
      <w:szCs w:val="18"/>
    </w:rPr>
  </w:style>
  <w:style w:type="character" w:customStyle="1" w:styleId="12">
    <w:name w:val="页脚 Char"/>
    <w:basedOn w:val="7"/>
    <w:link w:val="4"/>
    <w:qFormat/>
    <w:uiPriority w:val="99"/>
    <w:rPr>
      <w:sz w:val="18"/>
      <w:szCs w:val="18"/>
    </w:rPr>
  </w:style>
  <w:style w:type="paragraph" w:customStyle="1" w:styleId="13">
    <w:name w:val="List Paragraph"/>
    <w:basedOn w:val="1"/>
    <w:qFormat/>
    <w:uiPriority w:val="99"/>
    <w:pPr>
      <w:ind w:firstLine="420" w:firstLineChars="200"/>
    </w:pPr>
  </w:style>
  <w:style w:type="character" w:customStyle="1" w:styleId="14">
    <w:name w:val="批注框文本 Char"/>
    <w:basedOn w:val="7"/>
    <w:link w:val="3"/>
    <w:semiHidden/>
    <w:qFormat/>
    <w:uiPriority w:val="99"/>
    <w:rPr>
      <w:rFonts w:eastAsiaTheme="minorEastAsia"/>
      <w:kern w:val="2"/>
      <w:sz w:val="18"/>
      <w:szCs w:val="18"/>
    </w:rPr>
  </w:style>
  <w:style w:type="paragraph" w:customStyle="1" w:styleId="15">
    <w:name w:val="No Spacing"/>
    <w:qFormat/>
    <w:uiPriority w:val="1"/>
    <w:pPr>
      <w:adjustRightInd w:val="0"/>
      <w:snapToGrid w:val="0"/>
    </w:pPr>
    <w:rPr>
      <w:rFonts w:ascii="Tahoma" w:hAnsi="Tahoma" w:eastAsia="微软雅黑" w:cs="Times New Roman"/>
      <w:sz w:val="22"/>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4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9C2DBD6-C500-4498-AB80-57E1FA913EAD}">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31</Pages>
  <Words>2389</Words>
  <Characters>13622</Characters>
  <Lines>113</Lines>
  <Paragraphs>31</Paragraphs>
  <ScaleCrop>false</ScaleCrop>
  <LinksUpToDate>false</LinksUpToDate>
  <CharactersWithSpaces>15980</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2020-02-11T02:14:00Z</dcterms:created>
  <dc:creator>Admin</dc:creator>
  <cp:lastModifiedBy>Administrator</cp:lastModifiedBy>
  <cp:lastPrinted>2021-02-24T02:55:00Z</cp:lastPrinted>
  <dcterms:modified xsi:type="dcterms:W3CDTF">2021-03-01T03:06:38Z</dcterms:modified>
  <cp:revision>581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