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0" w:lineRule="exact"/>
        <w:ind w:firstLine="1446" w:firstLineChars="200"/>
        <w:jc w:val="center"/>
        <w:textAlignment w:val="auto"/>
        <w:rPr>
          <w:rFonts w:asciiTheme="minorEastAsia" w:hAnsiTheme="minorEastAsia"/>
          <w:b/>
          <w:sz w:val="72"/>
          <w:szCs w:val="36"/>
        </w:rPr>
      </w:pPr>
    </w:p>
    <w:p>
      <w:pPr>
        <w:keepNext w:val="0"/>
        <w:keepLines w:val="0"/>
        <w:pageBreakBefore w:val="0"/>
        <w:kinsoku/>
        <w:wordWrap/>
        <w:overflowPunct/>
        <w:topLinePunct w:val="0"/>
        <w:autoSpaceDE/>
        <w:autoSpaceDN/>
        <w:bidi w:val="0"/>
        <w:spacing w:line="590" w:lineRule="exact"/>
        <w:ind w:firstLine="1446" w:firstLineChars="200"/>
        <w:jc w:val="center"/>
        <w:textAlignment w:val="auto"/>
        <w:rPr>
          <w:rFonts w:asciiTheme="minorEastAsia" w:hAnsiTheme="minorEastAsia"/>
          <w:b/>
          <w:sz w:val="72"/>
          <w:szCs w:val="36"/>
        </w:rPr>
      </w:pP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w w:val="90"/>
          <w:sz w:val="44"/>
          <w:szCs w:val="44"/>
        </w:rPr>
      </w:pPr>
      <w:r>
        <w:rPr>
          <w:rFonts w:hint="eastAsia" w:ascii="黑体" w:hAnsi="黑体" w:eastAsia="黑体" w:cs="黑体"/>
          <w:w w:val="90"/>
          <w:sz w:val="44"/>
          <w:szCs w:val="44"/>
          <w:lang w:eastAsia="zh-CN"/>
        </w:rPr>
        <w:t>登封中岳中等专业</w:t>
      </w:r>
      <w:r>
        <w:rPr>
          <w:rFonts w:hint="eastAsia" w:ascii="黑体" w:hAnsi="黑体" w:eastAsia="黑体" w:cs="黑体"/>
          <w:w w:val="90"/>
          <w:sz w:val="44"/>
          <w:szCs w:val="44"/>
        </w:rPr>
        <w:t>学校</w:t>
      </w: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w w:val="90"/>
          <w:sz w:val="44"/>
          <w:szCs w:val="44"/>
        </w:rPr>
      </w:pPr>
    </w:p>
    <w:p>
      <w:pPr>
        <w:keepNext w:val="0"/>
        <w:keepLines w:val="0"/>
        <w:pageBreakBefore w:val="0"/>
        <w:kinsoku/>
        <w:wordWrap/>
        <w:overflowPunct/>
        <w:topLinePunct w:val="0"/>
        <w:autoSpaceDE/>
        <w:autoSpaceDN/>
        <w:bidi w:val="0"/>
        <w:spacing w:line="590" w:lineRule="exact"/>
        <w:jc w:val="center"/>
        <w:textAlignment w:val="auto"/>
        <w:rPr>
          <w:rFonts w:ascii="黑体" w:hAnsi="黑体" w:eastAsia="黑体"/>
          <w:b/>
          <w:sz w:val="72"/>
          <w:szCs w:val="36"/>
        </w:rPr>
      </w:pPr>
      <w:r>
        <w:rPr>
          <w:rFonts w:hint="eastAsia" w:ascii="黑体" w:hAnsi="黑体" w:eastAsia="黑体" w:cs="黑体"/>
          <w:w w:val="90"/>
          <w:sz w:val="44"/>
          <w:szCs w:val="44"/>
        </w:rPr>
        <w:t>职业教育质量年度报告</w:t>
      </w:r>
      <w:r>
        <w:rPr>
          <w:rFonts w:hint="eastAsia" w:ascii="黑体" w:hAnsi="黑体" w:eastAsia="黑体" w:cs="黑体"/>
          <w:sz w:val="44"/>
          <w:szCs w:val="44"/>
        </w:rPr>
        <w:t>（2019年）</w:t>
      </w:r>
    </w:p>
    <w:p>
      <w:pPr>
        <w:keepNext w:val="0"/>
        <w:keepLines w:val="0"/>
        <w:pageBreakBefore w:val="0"/>
        <w:kinsoku/>
        <w:wordWrap/>
        <w:overflowPunct/>
        <w:topLinePunct w:val="0"/>
        <w:autoSpaceDE/>
        <w:autoSpaceDN/>
        <w:bidi w:val="0"/>
        <w:spacing w:line="590" w:lineRule="exact"/>
        <w:ind w:firstLine="1446" w:firstLineChars="200"/>
        <w:jc w:val="center"/>
        <w:textAlignment w:val="auto"/>
        <w:rPr>
          <w:rFonts w:asciiTheme="minorEastAsia" w:hAnsiTheme="minorEastAsia"/>
          <w:b/>
          <w:sz w:val="72"/>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723" w:firstLineChars="200"/>
        <w:jc w:val="center"/>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jc w:val="both"/>
        <w:textAlignment w:val="auto"/>
        <w:rPr>
          <w:rFonts w:asciiTheme="minorEastAsia" w:hAnsiTheme="minorEastAsia"/>
          <w:b/>
          <w:sz w:val="36"/>
          <w:szCs w:val="36"/>
        </w:rPr>
      </w:pPr>
    </w:p>
    <w:p>
      <w:pPr>
        <w:keepNext w:val="0"/>
        <w:keepLines w:val="0"/>
        <w:pageBreakBefore w:val="0"/>
        <w:kinsoku/>
        <w:wordWrap/>
        <w:overflowPunct/>
        <w:topLinePunct w:val="0"/>
        <w:autoSpaceDE/>
        <w:autoSpaceDN/>
        <w:bidi w:val="0"/>
        <w:spacing w:line="590" w:lineRule="exact"/>
        <w:ind w:firstLine="643" w:firstLineChars="200"/>
        <w:jc w:val="center"/>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rPr>
        <w:t>2020年2月</w:t>
      </w:r>
      <w:r>
        <w:rPr>
          <w:rFonts w:hint="eastAsia" w:ascii="黑体" w:hAnsi="黑体" w:eastAsia="黑体" w:cs="黑体"/>
          <w:b/>
          <w:sz w:val="32"/>
          <w:szCs w:val="32"/>
          <w:lang w:val="en-US" w:eastAsia="zh-CN"/>
        </w:rPr>
        <w:t>28日</w:t>
      </w:r>
    </w:p>
    <w:p>
      <w:pPr>
        <w:keepNext w:val="0"/>
        <w:keepLines w:val="0"/>
        <w:pageBreakBefore w:val="0"/>
        <w:widowControl/>
        <w:suppressLineNumbers w:val="0"/>
        <w:kinsoku/>
        <w:wordWrap/>
        <w:overflowPunct/>
        <w:topLinePunct w:val="0"/>
        <w:autoSpaceDE/>
        <w:autoSpaceDN/>
        <w:bidi w:val="0"/>
        <w:spacing w:line="590" w:lineRule="exact"/>
        <w:jc w:val="both"/>
        <w:textAlignment w:val="auto"/>
        <w:rPr>
          <w:rFonts w:hint="eastAsia" w:ascii="宋体" w:hAnsi="宋体" w:eastAsia="宋体" w:cs="宋体"/>
          <w:b/>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spacing w:line="590" w:lineRule="exact"/>
        <w:jc w:val="both"/>
        <w:textAlignment w:val="auto"/>
        <w:rPr>
          <w:rFonts w:hint="eastAsia" w:ascii="宋体" w:hAnsi="宋体" w:eastAsia="宋体" w:cs="宋体"/>
          <w:b/>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spacing w:line="590" w:lineRule="exact"/>
        <w:jc w:val="center"/>
        <w:textAlignment w:val="auto"/>
        <w:rPr>
          <w:rFonts w:hint="eastAsia" w:ascii="宋体" w:hAnsi="宋体" w:eastAsia="宋体" w:cs="宋体"/>
          <w:b/>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spacing w:line="590" w:lineRule="exact"/>
        <w:jc w:val="center"/>
        <w:textAlignment w:val="auto"/>
        <w:rPr>
          <w:sz w:val="44"/>
          <w:szCs w:val="44"/>
        </w:rPr>
      </w:pPr>
      <w:r>
        <w:rPr>
          <w:rFonts w:hint="eastAsia" w:ascii="宋体" w:hAnsi="宋体" w:eastAsia="宋体" w:cs="宋体"/>
          <w:b/>
          <w:color w:val="000000"/>
          <w:kern w:val="0"/>
          <w:sz w:val="44"/>
          <w:szCs w:val="44"/>
          <w:lang w:val="en-US" w:eastAsia="zh-CN" w:bidi="ar"/>
        </w:rPr>
        <w:t>目 录</w:t>
      </w:r>
    </w:p>
    <w:p>
      <w:pPr>
        <w:keepNext w:val="0"/>
        <w:keepLines w:val="0"/>
        <w:pageBreakBefore w:val="0"/>
        <w:widowControl/>
        <w:suppressLineNumbers w:val="0"/>
        <w:kinsoku/>
        <w:wordWrap/>
        <w:overflowPunct/>
        <w:topLinePunct w:val="0"/>
        <w:autoSpaceDE/>
        <w:autoSpaceDN/>
        <w:bidi w:val="0"/>
        <w:spacing w:line="590" w:lineRule="exact"/>
        <w:jc w:val="left"/>
        <w:textAlignment w:val="auto"/>
        <w:rPr>
          <w:rFonts w:ascii="仿宋" w:hAnsi="仿宋" w:eastAsia="仿宋" w:cs="仿宋"/>
          <w:b/>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黑体" w:hAnsi="黑体" w:eastAsia="黑体" w:cs="黑体"/>
          <w:b/>
          <w:color w:val="000000"/>
          <w:kern w:val="0"/>
          <w:sz w:val="32"/>
          <w:szCs w:val="32"/>
          <w:lang w:val="en-US" w:eastAsia="zh-CN" w:bidi="ar"/>
        </w:rPr>
        <w:t>第一部分  学校情况</w:t>
      </w:r>
      <w:r>
        <w:rPr>
          <w:rFonts w:hint="eastAsia" w:ascii="仿宋" w:hAnsi="仿宋" w:eastAsia="仿宋" w:cs="仿宋"/>
          <w:color w:val="000000"/>
          <w:kern w:val="0"/>
          <w:sz w:val="32"/>
          <w:szCs w:val="32"/>
          <w:lang w:val="en-US" w:eastAsia="zh-CN" w:bidi="ar"/>
        </w:rPr>
        <w:t>……………………………………………1</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1.1 学校概况</w:t>
      </w:r>
      <w:r>
        <w:rPr>
          <w:rFonts w:hint="eastAsia" w:ascii="仿宋" w:hAnsi="仿宋" w:eastAsia="仿宋" w:cs="仿宋"/>
          <w:color w:val="000000"/>
          <w:kern w:val="0"/>
          <w:sz w:val="32"/>
          <w:szCs w:val="32"/>
          <w:lang w:val="en-US" w:eastAsia="zh-CN" w:bidi="ar"/>
        </w:rPr>
        <w:t>……………………………………………………1</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1.2 学生情况</w:t>
      </w:r>
      <w:r>
        <w:rPr>
          <w:rFonts w:hint="eastAsia" w:ascii="仿宋" w:hAnsi="仿宋" w:eastAsia="仿宋" w:cs="仿宋"/>
          <w:color w:val="000000"/>
          <w:kern w:val="0"/>
          <w:sz w:val="32"/>
          <w:szCs w:val="32"/>
          <w:lang w:val="en-US" w:eastAsia="zh-CN" w:bidi="ar"/>
        </w:rPr>
        <w:t>……………………………………………………1</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1.3 教师队伍</w:t>
      </w: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1.4 设施设备</w:t>
      </w:r>
      <w:r>
        <w:rPr>
          <w:rFonts w:hint="eastAsia" w:ascii="仿宋" w:hAnsi="仿宋" w:eastAsia="仿宋" w:cs="仿宋"/>
          <w:color w:val="000000"/>
          <w:kern w:val="0"/>
          <w:sz w:val="32"/>
          <w:szCs w:val="32"/>
          <w:lang w:val="en-US" w:eastAsia="zh-CN" w:bidi="ar"/>
        </w:rPr>
        <w:t>……………………………………………………3</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黑体" w:hAnsi="黑体" w:eastAsia="黑体" w:cs="黑体"/>
          <w:b/>
          <w:color w:val="000000"/>
          <w:kern w:val="0"/>
          <w:sz w:val="32"/>
          <w:szCs w:val="32"/>
          <w:lang w:val="en-US" w:eastAsia="zh-CN" w:bidi="ar"/>
        </w:rPr>
        <w:t>第二部分  学生发展</w:t>
      </w:r>
      <w:r>
        <w:rPr>
          <w:rFonts w:hint="eastAsia" w:ascii="仿宋" w:hAnsi="仿宋" w:eastAsia="仿宋" w:cs="仿宋"/>
          <w:color w:val="000000"/>
          <w:kern w:val="0"/>
          <w:sz w:val="32"/>
          <w:szCs w:val="32"/>
          <w:lang w:val="en-US" w:eastAsia="zh-CN" w:bidi="ar"/>
        </w:rPr>
        <w:t>……………………………………………3</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2.1 学生素质</w:t>
      </w:r>
      <w:r>
        <w:rPr>
          <w:rFonts w:hint="eastAsia" w:ascii="仿宋" w:hAnsi="仿宋" w:eastAsia="仿宋" w:cs="仿宋"/>
          <w:color w:val="000000"/>
          <w:kern w:val="0"/>
          <w:sz w:val="32"/>
          <w:szCs w:val="32"/>
          <w:lang w:val="en-US" w:eastAsia="zh-CN" w:bidi="ar"/>
        </w:rPr>
        <w:t xml:space="preserve">……………………………………………………3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2.2 在校体验</w:t>
      </w:r>
      <w:r>
        <w:rPr>
          <w:rFonts w:hint="eastAsia" w:ascii="仿宋" w:hAnsi="仿宋" w:eastAsia="仿宋" w:cs="仿宋"/>
          <w:color w:val="000000"/>
          <w:kern w:val="0"/>
          <w:sz w:val="32"/>
          <w:szCs w:val="32"/>
          <w:lang w:val="en-US" w:eastAsia="zh-CN" w:bidi="ar"/>
        </w:rPr>
        <w:t xml:space="preserve">……………………………………………………6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2.3 资助情况</w:t>
      </w:r>
      <w:r>
        <w:rPr>
          <w:rFonts w:hint="eastAsia" w:ascii="仿宋" w:hAnsi="仿宋" w:eastAsia="仿宋" w:cs="仿宋"/>
          <w:color w:val="000000"/>
          <w:kern w:val="0"/>
          <w:sz w:val="32"/>
          <w:szCs w:val="32"/>
          <w:lang w:val="en-US" w:eastAsia="zh-CN" w:bidi="ar"/>
        </w:rPr>
        <w:t xml:space="preserve">……………………………………………………6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2.4 就业质量</w:t>
      </w:r>
      <w:r>
        <w:rPr>
          <w:rFonts w:hint="eastAsia" w:ascii="仿宋" w:hAnsi="仿宋" w:eastAsia="仿宋" w:cs="仿宋"/>
          <w:color w:val="000000"/>
          <w:kern w:val="0"/>
          <w:sz w:val="32"/>
          <w:szCs w:val="32"/>
          <w:lang w:val="en-US" w:eastAsia="zh-CN" w:bidi="ar"/>
        </w:rPr>
        <w:t xml:space="preserve">……………………………………………………7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2.5 职业发展</w:t>
      </w:r>
      <w:r>
        <w:rPr>
          <w:rFonts w:hint="eastAsia" w:ascii="仿宋" w:hAnsi="仿宋" w:eastAsia="仿宋" w:cs="仿宋"/>
          <w:color w:val="000000"/>
          <w:kern w:val="0"/>
          <w:sz w:val="32"/>
          <w:szCs w:val="32"/>
          <w:lang w:val="en-US" w:eastAsia="zh-CN" w:bidi="ar"/>
        </w:rPr>
        <w:t xml:space="preserve">……………………………………………………8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黑体" w:hAnsi="黑体" w:eastAsia="黑体" w:cs="黑体"/>
          <w:b/>
          <w:color w:val="000000"/>
          <w:kern w:val="0"/>
          <w:sz w:val="32"/>
          <w:szCs w:val="32"/>
          <w:lang w:val="en-US" w:eastAsia="zh-CN" w:bidi="ar"/>
        </w:rPr>
        <w:t>第三部分  质量保障措施</w:t>
      </w:r>
      <w:r>
        <w:rPr>
          <w:rFonts w:hint="eastAsia" w:ascii="仿宋" w:hAnsi="仿宋" w:eastAsia="仿宋" w:cs="仿宋"/>
          <w:color w:val="000000"/>
          <w:kern w:val="0"/>
          <w:sz w:val="32"/>
          <w:szCs w:val="32"/>
          <w:lang w:val="en-US" w:eastAsia="zh-CN" w:bidi="ar"/>
        </w:rPr>
        <w:t>………………………………………8</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3.1 专业动态调整</w:t>
      </w:r>
      <w:r>
        <w:rPr>
          <w:rFonts w:hint="eastAsia" w:ascii="仿宋" w:hAnsi="仿宋" w:eastAsia="仿宋" w:cs="仿宋"/>
          <w:color w:val="000000"/>
          <w:kern w:val="0"/>
          <w:sz w:val="32"/>
          <w:szCs w:val="32"/>
          <w:lang w:val="en-US" w:eastAsia="zh-CN" w:bidi="ar"/>
        </w:rPr>
        <w:t>………………………………………………8</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3.2 教育教学改革</w:t>
      </w:r>
      <w:r>
        <w:rPr>
          <w:rFonts w:hint="eastAsia" w:ascii="仿宋" w:hAnsi="仿宋" w:eastAsia="仿宋" w:cs="仿宋"/>
          <w:color w:val="000000"/>
          <w:kern w:val="0"/>
          <w:sz w:val="32"/>
          <w:szCs w:val="32"/>
          <w:lang w:val="en-US" w:eastAsia="zh-CN" w:bidi="ar"/>
        </w:rPr>
        <w:t>………………………………………………9</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3.3 教师培养培训</w:t>
      </w:r>
      <w:r>
        <w:rPr>
          <w:rFonts w:hint="eastAsia" w:ascii="仿宋" w:hAnsi="仿宋" w:eastAsia="仿宋" w:cs="仿宋"/>
          <w:color w:val="000000"/>
          <w:kern w:val="0"/>
          <w:sz w:val="32"/>
          <w:szCs w:val="32"/>
          <w:lang w:val="en-US" w:eastAsia="zh-CN" w:bidi="ar"/>
        </w:rPr>
        <w:t>………………………………………………11</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3.4 规范管理情况</w:t>
      </w:r>
      <w:r>
        <w:rPr>
          <w:rFonts w:hint="eastAsia" w:ascii="仿宋" w:hAnsi="仿宋" w:eastAsia="仿宋" w:cs="仿宋"/>
          <w:color w:val="000000"/>
          <w:kern w:val="0"/>
          <w:sz w:val="32"/>
          <w:szCs w:val="32"/>
          <w:lang w:val="en-US" w:eastAsia="zh-CN" w:bidi="ar"/>
        </w:rPr>
        <w:t>………………………………………………12</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3.5 德育工作情况</w:t>
      </w:r>
      <w:r>
        <w:rPr>
          <w:rFonts w:hint="eastAsia" w:ascii="仿宋" w:hAnsi="仿宋" w:eastAsia="仿宋" w:cs="仿宋"/>
          <w:color w:val="000000"/>
          <w:kern w:val="0"/>
          <w:sz w:val="32"/>
          <w:szCs w:val="32"/>
          <w:lang w:val="en-US" w:eastAsia="zh-CN" w:bidi="ar"/>
        </w:rPr>
        <w:t>………………………………………………13</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3.6 党建情况</w:t>
      </w:r>
      <w:r>
        <w:rPr>
          <w:rFonts w:hint="eastAsia" w:ascii="仿宋" w:hAnsi="仿宋" w:eastAsia="仿宋" w:cs="仿宋"/>
          <w:color w:val="000000"/>
          <w:kern w:val="0"/>
          <w:sz w:val="32"/>
          <w:szCs w:val="32"/>
          <w:lang w:val="en-US" w:eastAsia="zh-CN" w:bidi="ar"/>
        </w:rPr>
        <w:t>……………………………………………………15</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黑体" w:hAnsi="黑体" w:eastAsia="黑体" w:cs="黑体"/>
          <w:b/>
          <w:color w:val="000000"/>
          <w:kern w:val="0"/>
          <w:sz w:val="32"/>
          <w:szCs w:val="32"/>
          <w:lang w:val="en-US" w:eastAsia="zh-CN" w:bidi="ar"/>
        </w:rPr>
        <w:t>第四部分  校企合作</w:t>
      </w:r>
      <w:r>
        <w:rPr>
          <w:rFonts w:hint="eastAsia" w:ascii="仿宋" w:hAnsi="仿宋" w:eastAsia="仿宋" w:cs="仿宋"/>
          <w:color w:val="000000"/>
          <w:kern w:val="0"/>
          <w:sz w:val="32"/>
          <w:szCs w:val="32"/>
          <w:lang w:val="en-US" w:eastAsia="zh-CN" w:bidi="ar"/>
        </w:rPr>
        <w:t>……………………………………………15</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rPr>
          <w:rFonts w:hint="default"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4.1 校企合作开展情况和效果</w:t>
      </w:r>
      <w:r>
        <w:rPr>
          <w:rFonts w:hint="eastAsia" w:ascii="仿宋" w:hAnsi="仿宋" w:eastAsia="仿宋" w:cs="仿宋"/>
          <w:color w:val="000000"/>
          <w:kern w:val="0"/>
          <w:sz w:val="32"/>
          <w:szCs w:val="32"/>
          <w:lang w:val="en-US" w:eastAsia="zh-CN" w:bidi="ar"/>
        </w:rPr>
        <w:t>…………………………………15</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4.2 学生实习情况</w:t>
      </w:r>
      <w:r>
        <w:rPr>
          <w:rFonts w:hint="eastAsia" w:ascii="仿宋" w:hAnsi="仿宋" w:eastAsia="仿宋" w:cs="仿宋"/>
          <w:color w:val="000000"/>
          <w:kern w:val="0"/>
          <w:sz w:val="32"/>
          <w:szCs w:val="32"/>
          <w:lang w:val="en-US" w:eastAsia="zh-CN" w:bidi="ar"/>
        </w:rPr>
        <w:t>………………………………………………16</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黑体" w:hAnsi="黑体" w:eastAsia="黑体" w:cs="黑体"/>
          <w:b/>
          <w:color w:val="000000"/>
          <w:kern w:val="0"/>
          <w:sz w:val="32"/>
          <w:szCs w:val="32"/>
          <w:lang w:val="en-US" w:eastAsia="zh-CN" w:bidi="ar"/>
        </w:rPr>
        <w:t>第五部分  社会贡献</w:t>
      </w:r>
      <w:r>
        <w:rPr>
          <w:rFonts w:hint="eastAsia" w:ascii="仿宋" w:hAnsi="仿宋" w:eastAsia="仿宋" w:cs="仿宋"/>
          <w:color w:val="000000"/>
          <w:kern w:val="0"/>
          <w:sz w:val="32"/>
          <w:szCs w:val="32"/>
          <w:lang w:val="en-US" w:eastAsia="zh-CN" w:bidi="ar"/>
        </w:rPr>
        <w:t>……………………………………………16</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5.1 技术技能人才培养</w:t>
      </w:r>
      <w:r>
        <w:rPr>
          <w:rFonts w:hint="eastAsia" w:ascii="仿宋" w:hAnsi="仿宋" w:eastAsia="仿宋" w:cs="仿宋"/>
          <w:color w:val="000000"/>
          <w:kern w:val="0"/>
          <w:sz w:val="32"/>
          <w:szCs w:val="32"/>
          <w:lang w:val="en-US" w:eastAsia="zh-CN" w:bidi="ar"/>
        </w:rPr>
        <w:t>…………………………………………16</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5.2 社会服务</w:t>
      </w:r>
      <w:r>
        <w:rPr>
          <w:rFonts w:hint="eastAsia" w:ascii="仿宋" w:hAnsi="仿宋" w:eastAsia="仿宋" w:cs="仿宋"/>
          <w:color w:val="000000"/>
          <w:kern w:val="0"/>
          <w:sz w:val="32"/>
          <w:szCs w:val="32"/>
          <w:lang w:val="en-US" w:eastAsia="zh-CN" w:bidi="ar"/>
        </w:rPr>
        <w:t>……………………………………………………16</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5.3 对口支援</w:t>
      </w:r>
      <w:r>
        <w:rPr>
          <w:rFonts w:hint="eastAsia" w:ascii="仿宋" w:hAnsi="仿宋" w:eastAsia="仿宋" w:cs="仿宋"/>
          <w:color w:val="000000"/>
          <w:kern w:val="0"/>
          <w:sz w:val="32"/>
          <w:szCs w:val="32"/>
          <w:lang w:val="en-US" w:eastAsia="zh-CN" w:bidi="ar"/>
        </w:rPr>
        <w:t>……………………………………………………17</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黑体" w:hAnsi="黑体" w:eastAsia="黑体" w:cs="黑体"/>
          <w:b/>
          <w:color w:val="000000"/>
          <w:kern w:val="0"/>
          <w:sz w:val="32"/>
          <w:szCs w:val="32"/>
          <w:lang w:val="en-US" w:eastAsia="zh-CN" w:bidi="ar"/>
        </w:rPr>
        <w:t>第六部分  举办者履责</w:t>
      </w:r>
      <w:r>
        <w:rPr>
          <w:rFonts w:hint="eastAsia" w:ascii="仿宋" w:hAnsi="仿宋" w:eastAsia="仿宋" w:cs="仿宋"/>
          <w:color w:val="000000"/>
          <w:kern w:val="0"/>
          <w:sz w:val="32"/>
          <w:szCs w:val="32"/>
          <w:lang w:val="en-US" w:eastAsia="zh-CN" w:bidi="ar"/>
        </w:rPr>
        <w:t>…………………………………………17</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6.1 经费保障</w:t>
      </w:r>
      <w:r>
        <w:rPr>
          <w:rFonts w:hint="eastAsia" w:ascii="仿宋" w:hAnsi="仿宋" w:eastAsia="仿宋" w:cs="仿宋"/>
          <w:color w:val="000000"/>
          <w:kern w:val="0"/>
          <w:sz w:val="32"/>
          <w:szCs w:val="32"/>
          <w:lang w:val="en-US" w:eastAsia="zh-CN" w:bidi="ar"/>
        </w:rPr>
        <w:t xml:space="preserve">……………………………………………………17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6.2 政策措施</w:t>
      </w:r>
      <w:r>
        <w:rPr>
          <w:rFonts w:hint="eastAsia" w:ascii="仿宋" w:hAnsi="仿宋" w:eastAsia="仿宋" w:cs="仿宋"/>
          <w:color w:val="000000"/>
          <w:kern w:val="0"/>
          <w:sz w:val="32"/>
          <w:szCs w:val="32"/>
          <w:lang w:val="en-US" w:eastAsia="zh-CN" w:bidi="ar"/>
        </w:rPr>
        <w:t>……………………………………………………17</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黑体" w:hAnsi="黑体" w:eastAsia="黑体" w:cs="黑体"/>
          <w:b/>
          <w:color w:val="000000"/>
          <w:kern w:val="0"/>
          <w:sz w:val="32"/>
          <w:szCs w:val="32"/>
          <w:lang w:val="en-US" w:eastAsia="zh-CN" w:bidi="ar"/>
        </w:rPr>
        <w:t>第七部分  特色创新</w:t>
      </w:r>
      <w:r>
        <w:rPr>
          <w:rFonts w:hint="eastAsia" w:ascii="仿宋" w:hAnsi="仿宋" w:eastAsia="仿宋" w:cs="仿宋"/>
          <w:color w:val="000000"/>
          <w:kern w:val="0"/>
          <w:sz w:val="32"/>
          <w:szCs w:val="32"/>
          <w:lang w:val="en-US" w:eastAsia="zh-CN" w:bidi="ar"/>
        </w:rPr>
        <w:t>……………………………………………18</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spacing w:val="-6"/>
          <w:sz w:val="32"/>
          <w:szCs w:val="32"/>
          <w:lang w:val="en-US" w:eastAsia="zh-CN"/>
        </w:rPr>
        <w:t xml:space="preserve">7.1 </w:t>
      </w:r>
      <w:r>
        <w:rPr>
          <w:rFonts w:hint="eastAsia" w:ascii="楷体" w:hAnsi="楷体" w:eastAsia="楷体" w:cs="楷体"/>
          <w:spacing w:val="-6"/>
          <w:sz w:val="32"/>
          <w:szCs w:val="32"/>
        </w:rPr>
        <w:t>传统文化与日常教学相结合</w:t>
      </w:r>
      <w:r>
        <w:rPr>
          <w:rFonts w:hint="eastAsia" w:ascii="楷体" w:hAnsi="楷体" w:eastAsia="楷体" w:cs="楷体"/>
          <w:spacing w:val="-6"/>
          <w:sz w:val="32"/>
          <w:szCs w:val="32"/>
          <w:lang w:val="en-US" w:eastAsia="zh-CN"/>
        </w:rPr>
        <w:t xml:space="preserve"> </w:t>
      </w:r>
      <w:r>
        <w:rPr>
          <w:rFonts w:hint="eastAsia" w:ascii="仿宋" w:hAnsi="仿宋" w:eastAsia="仿宋" w:cs="仿宋"/>
          <w:color w:val="000000"/>
          <w:kern w:val="0"/>
          <w:sz w:val="32"/>
          <w:szCs w:val="32"/>
          <w:lang w:val="en-US" w:eastAsia="zh-CN" w:bidi="ar"/>
        </w:rPr>
        <w:t>………………………………18</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spacing w:val="-6"/>
          <w:sz w:val="32"/>
          <w:szCs w:val="32"/>
          <w:lang w:val="en-US" w:eastAsia="zh-CN"/>
        </w:rPr>
        <w:t xml:space="preserve">7.2 </w:t>
      </w:r>
      <w:r>
        <w:rPr>
          <w:rFonts w:hint="eastAsia" w:ascii="楷体" w:hAnsi="楷体" w:eastAsia="楷体" w:cs="楷体"/>
          <w:spacing w:val="-6"/>
          <w:sz w:val="32"/>
          <w:szCs w:val="32"/>
        </w:rPr>
        <w:t>专业课国内外学术交流日益频繁</w:t>
      </w:r>
      <w:r>
        <w:rPr>
          <w:rFonts w:hint="eastAsia" w:ascii="楷体" w:hAnsi="楷体" w:eastAsia="楷体" w:cs="楷体"/>
          <w:spacing w:val="-6"/>
          <w:sz w:val="32"/>
          <w:szCs w:val="32"/>
          <w:lang w:val="en-US" w:eastAsia="zh-CN"/>
        </w:rPr>
        <w:t xml:space="preserve"> </w:t>
      </w:r>
      <w:r>
        <w:rPr>
          <w:rFonts w:hint="eastAsia" w:ascii="仿宋" w:hAnsi="仿宋" w:eastAsia="仿宋" w:cs="仿宋"/>
          <w:color w:val="000000"/>
          <w:kern w:val="0"/>
          <w:sz w:val="32"/>
          <w:szCs w:val="32"/>
          <w:lang w:val="en-US" w:eastAsia="zh-CN" w:bidi="ar"/>
        </w:rPr>
        <w:t>…………………………18</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黑体" w:hAnsi="黑体" w:eastAsia="黑体" w:cs="黑体"/>
          <w:b/>
          <w:color w:val="000000"/>
          <w:kern w:val="0"/>
          <w:sz w:val="32"/>
          <w:szCs w:val="32"/>
          <w:lang w:val="en-US" w:eastAsia="zh-CN" w:bidi="ar"/>
        </w:rPr>
        <w:t>第八部分  主要问题和改进措施</w:t>
      </w:r>
      <w:r>
        <w:rPr>
          <w:rFonts w:hint="eastAsia" w:ascii="仿宋" w:hAnsi="仿宋" w:eastAsia="仿宋" w:cs="仿宋"/>
          <w:color w:val="000000"/>
          <w:kern w:val="0"/>
          <w:sz w:val="32"/>
          <w:szCs w:val="32"/>
          <w:lang w:val="en-US" w:eastAsia="zh-CN" w:bidi="ar"/>
        </w:rPr>
        <w:t>………………………………19</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90" w:lineRule="exact"/>
        <w:jc w:val="left"/>
        <w:textAlignment w:val="auto"/>
      </w:pPr>
      <w:r>
        <w:rPr>
          <w:rFonts w:hint="eastAsia" w:ascii="楷体" w:hAnsi="楷体" w:eastAsia="楷体" w:cs="楷体"/>
          <w:color w:val="000000"/>
          <w:kern w:val="0"/>
          <w:sz w:val="32"/>
          <w:szCs w:val="32"/>
          <w:lang w:val="en-US" w:eastAsia="zh-CN" w:bidi="ar"/>
        </w:rPr>
        <w:t>8.1 人才培养中存在的问题</w:t>
      </w:r>
      <w:r>
        <w:rPr>
          <w:rFonts w:hint="eastAsia" w:ascii="仿宋" w:hAnsi="仿宋" w:eastAsia="仿宋" w:cs="仿宋"/>
          <w:color w:val="000000"/>
          <w:kern w:val="0"/>
          <w:sz w:val="32"/>
          <w:szCs w:val="32"/>
          <w:lang w:val="en-US" w:eastAsia="zh-CN" w:bidi="ar"/>
        </w:rPr>
        <w:t xml:space="preserve">……………………………………19 </w:t>
      </w:r>
    </w:p>
    <w:p>
      <w:pPr>
        <w:keepNext w:val="0"/>
        <w:keepLines w:val="0"/>
        <w:pageBreakBefore w:val="0"/>
        <w:widowControl/>
        <w:suppressLineNumbers w:val="0"/>
        <w:kinsoku/>
        <w:wordWrap/>
        <w:overflowPunct/>
        <w:topLinePunct w:val="0"/>
        <w:autoSpaceDE/>
        <w:autoSpaceDN/>
        <w:bidi w:val="0"/>
        <w:spacing w:line="590" w:lineRule="exact"/>
        <w:jc w:val="left"/>
        <w:textAlignment w:val="auto"/>
        <w:rPr>
          <w:rFonts w:hint="default"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8.2 改进措施</w:t>
      </w:r>
      <w:r>
        <w:rPr>
          <w:rFonts w:hint="eastAsia" w:ascii="仿宋" w:hAnsi="仿宋" w:eastAsia="仿宋" w:cs="仿宋"/>
          <w:color w:val="000000"/>
          <w:kern w:val="0"/>
          <w:sz w:val="32"/>
          <w:szCs w:val="32"/>
          <w:lang w:val="en-US" w:eastAsia="zh-CN" w:bidi="ar"/>
        </w:rPr>
        <w:t>……………………………………………………19</w:t>
      </w:r>
    </w:p>
    <w:p>
      <w:pPr>
        <w:keepNext w:val="0"/>
        <w:keepLines w:val="0"/>
        <w:pageBreakBefore w:val="0"/>
        <w:kinsoku/>
        <w:wordWrap/>
        <w:overflowPunct/>
        <w:topLinePunct w:val="0"/>
        <w:autoSpaceDE/>
        <w:autoSpaceDN/>
        <w:bidi w:val="0"/>
        <w:spacing w:line="590" w:lineRule="exact"/>
        <w:jc w:val="center"/>
        <w:textAlignment w:val="auto"/>
        <w:rPr>
          <w:rFonts w:ascii="方正小标宋_GBK" w:hAnsi="方正小标宋_GBK" w:eastAsia="方正小标宋_GBK" w:cs="方正小标宋_GBK"/>
          <w:sz w:val="44"/>
          <w:szCs w:val="44"/>
        </w:rPr>
        <w:sectPr>
          <w:pgSz w:w="11906" w:h="16838"/>
          <w:pgMar w:top="2098" w:right="1474" w:bottom="2154" w:left="1587" w:header="851" w:footer="992" w:gutter="0"/>
          <w:pgNumType w:fmt="numberInDash"/>
          <w:cols w:space="0" w:num="1"/>
          <w:rtlGutter w:val="0"/>
          <w:docGrid w:type="lines" w:linePitch="312" w:charSpace="0"/>
        </w:sectPr>
      </w:pPr>
    </w:p>
    <w:p>
      <w:pPr>
        <w:keepNext w:val="0"/>
        <w:keepLines w:val="0"/>
        <w:pageBreakBefore w:val="0"/>
        <w:kinsoku/>
        <w:wordWrap/>
        <w:overflowPunct/>
        <w:topLinePunct w:val="0"/>
        <w:autoSpaceDE/>
        <w:autoSpaceDN/>
        <w:bidi w:val="0"/>
        <w:spacing w:line="590" w:lineRule="exact"/>
        <w:jc w:val="center"/>
        <w:textAlignment w:val="auto"/>
        <w:rPr>
          <w:rFonts w:hint="eastAsia" w:asciiTheme="majorEastAsia" w:hAnsiTheme="majorEastAsia" w:eastAsiaTheme="majorEastAsia" w:cstheme="majorEastAsia"/>
          <w:w w:val="90"/>
          <w:sz w:val="44"/>
          <w:szCs w:val="44"/>
          <w:lang w:eastAsia="zh-CN"/>
        </w:rPr>
      </w:pPr>
      <w:r>
        <w:rPr>
          <w:rFonts w:hint="eastAsia" w:asciiTheme="majorEastAsia" w:hAnsiTheme="majorEastAsia" w:eastAsiaTheme="majorEastAsia" w:cstheme="majorEastAsia"/>
          <w:w w:val="90"/>
          <w:sz w:val="44"/>
          <w:szCs w:val="44"/>
        </w:rPr>
        <w:t>登封中岳中等专业学校</w:t>
      </w:r>
      <w:r>
        <w:rPr>
          <w:rFonts w:hint="eastAsia" w:asciiTheme="majorEastAsia" w:hAnsiTheme="majorEastAsia" w:eastAsiaTheme="majorEastAsia" w:cstheme="majorEastAsia"/>
          <w:w w:val="90"/>
          <w:sz w:val="44"/>
          <w:szCs w:val="44"/>
          <w:lang w:eastAsia="zh-CN"/>
        </w:rPr>
        <w:t>职业教育质量年度</w:t>
      </w:r>
      <w:r>
        <w:rPr>
          <w:rFonts w:hint="eastAsia" w:asciiTheme="majorEastAsia" w:hAnsiTheme="majorEastAsia" w:eastAsiaTheme="majorEastAsia" w:cstheme="majorEastAsia"/>
          <w:w w:val="90"/>
          <w:sz w:val="44"/>
          <w:szCs w:val="44"/>
        </w:rPr>
        <w:t>报告</w:t>
      </w:r>
    </w:p>
    <w:p>
      <w:pPr>
        <w:keepNext w:val="0"/>
        <w:keepLines w:val="0"/>
        <w:pageBreakBefore w:val="0"/>
        <w:kinsoku/>
        <w:wordWrap/>
        <w:overflowPunct/>
        <w:topLinePunct w:val="0"/>
        <w:autoSpaceDE/>
        <w:autoSpaceDN/>
        <w:bidi w:val="0"/>
        <w:spacing w:line="590" w:lineRule="exact"/>
        <w:jc w:val="center"/>
        <w:textAlignment w:val="auto"/>
        <w:rPr>
          <w:rFonts w:asciiTheme="minorEastAsia" w:hAnsiTheme="minorEastAsia"/>
          <w:b/>
          <w:sz w:val="44"/>
          <w:szCs w:val="44"/>
        </w:rPr>
      </w:pPr>
      <w:r>
        <w:rPr>
          <w:rFonts w:hint="eastAsia" w:asciiTheme="majorEastAsia" w:hAnsiTheme="majorEastAsia" w:eastAsiaTheme="majorEastAsia" w:cstheme="majorEastAsia"/>
          <w:w w:val="90"/>
          <w:sz w:val="44"/>
          <w:szCs w:val="44"/>
        </w:rPr>
        <w:t>（2019年）</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0" w:lineRule="exact"/>
        <w:ind w:firstLine="640" w:firstLineChars="200"/>
        <w:jc w:val="center"/>
        <w:textAlignment w:val="auto"/>
        <w:rPr>
          <w:rFonts w:hint="eastAsia" w:ascii="仿宋" w:hAnsi="仿宋" w:eastAsia="仿宋" w:cs="仿宋"/>
          <w:sz w:val="32"/>
          <w:szCs w:val="32"/>
        </w:rPr>
      </w:pPr>
      <w:r>
        <w:rPr>
          <w:rFonts w:hint="eastAsia" w:ascii="黑体" w:hAnsi="黑体" w:eastAsia="黑体" w:cs="黑体"/>
          <w:b w:val="0"/>
          <w:bCs/>
          <w:color w:val="000000"/>
          <w:kern w:val="0"/>
          <w:sz w:val="32"/>
          <w:szCs w:val="32"/>
          <w:lang w:val="en-US" w:eastAsia="zh-CN" w:bidi="ar"/>
        </w:rPr>
        <w:t>第一部分  学校情况</w:t>
      </w: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仿宋" w:hAnsi="仿宋" w:eastAsia="仿宋" w:cs="仿宋"/>
          <w:b/>
          <w:bCs/>
          <w:kern w:val="0"/>
          <w:sz w:val="32"/>
          <w:szCs w:val="32"/>
        </w:rPr>
      </w:pPr>
      <w:r>
        <w:rPr>
          <w:rFonts w:hint="eastAsia" w:ascii="楷体" w:hAnsi="楷体" w:eastAsia="楷体" w:cs="楷体"/>
          <w:b/>
          <w:bCs/>
          <w:spacing w:val="-6"/>
          <w:sz w:val="32"/>
          <w:szCs w:val="32"/>
        </w:rPr>
        <w:t>1.1</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学校概况</w:t>
      </w:r>
    </w:p>
    <w:p>
      <w:pPr>
        <w:keepNext w:val="0"/>
        <w:keepLines w:val="0"/>
        <w:pageBreakBefore w:val="0"/>
        <w:kinsoku/>
        <w:wordWrap/>
        <w:overflowPunct/>
        <w:topLinePunct w:val="0"/>
        <w:autoSpaceDE/>
        <w:autoSpaceDN/>
        <w:bidi w:val="0"/>
        <w:spacing w:line="59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登封中岳中等专业学校</w:t>
      </w:r>
      <w:r>
        <w:rPr>
          <w:rFonts w:hint="eastAsia" w:ascii="仿宋" w:hAnsi="仿宋" w:eastAsia="仿宋" w:cs="仿宋"/>
          <w:spacing w:val="-6"/>
          <w:sz w:val="32"/>
          <w:szCs w:val="32"/>
          <w:lang w:eastAsia="zh-CN"/>
        </w:rPr>
        <w:t>创办于</w:t>
      </w:r>
      <w:r>
        <w:rPr>
          <w:rFonts w:hint="eastAsia" w:ascii="仿宋" w:hAnsi="仿宋" w:eastAsia="仿宋" w:cs="仿宋"/>
          <w:spacing w:val="-6"/>
          <w:sz w:val="32"/>
          <w:szCs w:val="32"/>
        </w:rPr>
        <w:t>于2009年6月</w:t>
      </w:r>
      <w:r>
        <w:rPr>
          <w:rFonts w:hint="eastAsia" w:ascii="仿宋" w:hAnsi="仿宋" w:eastAsia="仿宋" w:cs="仿宋"/>
          <w:spacing w:val="-6"/>
          <w:sz w:val="32"/>
          <w:szCs w:val="32"/>
          <w:lang w:eastAsia="zh-CN"/>
        </w:rPr>
        <w:t>，是</w:t>
      </w:r>
      <w:r>
        <w:rPr>
          <w:rFonts w:hint="eastAsia" w:ascii="仿宋" w:hAnsi="仿宋" w:eastAsia="仿宋" w:cs="仿宋"/>
          <w:spacing w:val="-6"/>
          <w:sz w:val="32"/>
          <w:szCs w:val="32"/>
        </w:rPr>
        <w:t>经郑州市教育局批</w:t>
      </w:r>
      <w:r>
        <w:rPr>
          <w:rFonts w:hint="eastAsia" w:ascii="仿宋" w:hAnsi="仿宋" w:eastAsia="仿宋" w:cs="仿宋"/>
          <w:spacing w:val="-6"/>
          <w:sz w:val="32"/>
          <w:szCs w:val="32"/>
          <w:lang w:eastAsia="zh-CN"/>
        </w:rPr>
        <w:t>准的一所全日制民办中等职业学校。</w:t>
      </w:r>
      <w:r>
        <w:rPr>
          <w:rFonts w:hint="eastAsia" w:ascii="仿宋" w:hAnsi="仿宋" w:eastAsia="仿宋" w:cs="仿宋"/>
          <w:spacing w:val="-6"/>
          <w:sz w:val="32"/>
          <w:szCs w:val="32"/>
        </w:rPr>
        <w:t>校园占地面积100亩，建筑面积32000平方米</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自建校以来，始终坚持社会主义办学方向，坚持为地方经济社会发展服务，在</w:t>
      </w:r>
      <w:r>
        <w:rPr>
          <w:rFonts w:hint="eastAsia" w:ascii="仿宋" w:hAnsi="仿宋" w:eastAsia="仿宋" w:cs="仿宋"/>
          <w:spacing w:val="-6"/>
          <w:sz w:val="32"/>
          <w:szCs w:val="32"/>
          <w:lang w:eastAsia="zh-CN"/>
        </w:rPr>
        <w:t>各级党政的正确领导下，在</w:t>
      </w:r>
      <w:r>
        <w:rPr>
          <w:rFonts w:hint="eastAsia" w:ascii="仿宋" w:hAnsi="仿宋" w:eastAsia="仿宋" w:cs="仿宋"/>
          <w:spacing w:val="-6"/>
          <w:sz w:val="32"/>
          <w:szCs w:val="32"/>
        </w:rPr>
        <w:t>郑州市和登封市教体局的关心支持下,</w:t>
      </w:r>
      <w:r>
        <w:rPr>
          <w:rFonts w:hint="eastAsia" w:ascii="仿宋" w:hAnsi="仿宋" w:eastAsia="仿宋" w:cs="仿宋"/>
          <w:spacing w:val="-6"/>
          <w:sz w:val="32"/>
          <w:szCs w:val="32"/>
          <w:lang w:eastAsia="zh-CN"/>
        </w:rPr>
        <w:t>大力</w:t>
      </w:r>
      <w:r>
        <w:rPr>
          <w:rFonts w:hint="eastAsia" w:ascii="仿宋" w:hAnsi="仿宋" w:eastAsia="仿宋" w:cs="仿宋"/>
          <w:spacing w:val="-6"/>
          <w:sz w:val="32"/>
          <w:szCs w:val="32"/>
        </w:rPr>
        <w:t>实施科教兴国战略和人才强国战略,秉持“严格管理，科学育人”教学理念，积极响应党中央国务院关于人力发展职业教育的号召，连年来为部队和社会各行</w:t>
      </w:r>
      <w:r>
        <w:rPr>
          <w:rFonts w:hint="eastAsia" w:ascii="仿宋" w:hAnsi="仿宋" w:eastAsia="仿宋" w:cs="仿宋"/>
          <w:spacing w:val="-6"/>
          <w:sz w:val="32"/>
          <w:szCs w:val="32"/>
          <w:lang w:eastAsia="zh-CN"/>
        </w:rPr>
        <w:t>各</w:t>
      </w:r>
      <w:r>
        <w:rPr>
          <w:rFonts w:hint="eastAsia" w:ascii="仿宋" w:hAnsi="仿宋" w:eastAsia="仿宋" w:cs="仿宋"/>
          <w:spacing w:val="-6"/>
          <w:sz w:val="32"/>
          <w:szCs w:val="32"/>
        </w:rPr>
        <w:t>业输送武术专业人才3800余人，被上级主管部门授予“目标管理先进单位”，成为登封教育领域具有一定知名度的中等职业学校。</w:t>
      </w: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1.2</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学生情况</w:t>
      </w:r>
    </w:p>
    <w:p>
      <w:pPr>
        <w:keepNext w:val="0"/>
        <w:keepLines w:val="0"/>
        <w:pageBreakBefore w:val="0"/>
        <w:kinsoku/>
        <w:wordWrap/>
        <w:overflowPunct/>
        <w:topLinePunct w:val="0"/>
        <w:autoSpaceDE/>
        <w:autoSpaceDN/>
        <w:bidi w:val="0"/>
        <w:spacing w:line="59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随着办学</w:t>
      </w:r>
      <w:r>
        <w:rPr>
          <w:rFonts w:hint="eastAsia" w:ascii="仿宋" w:hAnsi="仿宋" w:eastAsia="仿宋" w:cs="仿宋"/>
          <w:spacing w:val="-6"/>
          <w:sz w:val="32"/>
          <w:szCs w:val="32"/>
          <w:lang w:eastAsia="zh-CN"/>
        </w:rPr>
        <w:t>条件</w:t>
      </w:r>
      <w:r>
        <w:rPr>
          <w:rFonts w:hint="eastAsia" w:ascii="仿宋" w:hAnsi="仿宋" w:eastAsia="仿宋" w:cs="仿宋"/>
          <w:spacing w:val="-6"/>
          <w:sz w:val="32"/>
          <w:szCs w:val="32"/>
        </w:rPr>
        <w:t>不断</w:t>
      </w:r>
      <w:r>
        <w:rPr>
          <w:rFonts w:hint="eastAsia" w:ascii="仿宋" w:hAnsi="仿宋" w:eastAsia="仿宋" w:cs="仿宋"/>
          <w:spacing w:val="-6"/>
          <w:sz w:val="32"/>
          <w:szCs w:val="32"/>
          <w:lang w:eastAsia="zh-CN"/>
        </w:rPr>
        <w:t>改善</w:t>
      </w:r>
      <w:r>
        <w:rPr>
          <w:rFonts w:hint="eastAsia" w:ascii="仿宋" w:hAnsi="仿宋" w:eastAsia="仿宋" w:cs="仿宋"/>
          <w:spacing w:val="-6"/>
          <w:sz w:val="32"/>
          <w:szCs w:val="32"/>
        </w:rPr>
        <w:t>，学校招生人数和办学规模也不断扩大，教育教学质量明显提升，学生巩固率明显提高。</w:t>
      </w:r>
    </w:p>
    <w:p>
      <w:pPr>
        <w:keepNext w:val="0"/>
        <w:keepLines w:val="0"/>
        <w:pageBreakBefore w:val="0"/>
        <w:kinsoku/>
        <w:wordWrap/>
        <w:overflowPunct/>
        <w:topLinePunct w:val="0"/>
        <w:autoSpaceDE/>
        <w:autoSpaceDN/>
        <w:bidi w:val="0"/>
        <w:spacing w:line="59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学校现有在校生2460人，其中2017级332人，2018级625人，2019级</w:t>
      </w:r>
      <w:r>
        <w:rPr>
          <w:rFonts w:hint="eastAsia" w:ascii="仿宋" w:hAnsi="仿宋" w:eastAsia="仿宋" w:cs="仿宋"/>
          <w:spacing w:val="-6"/>
          <w:sz w:val="32"/>
          <w:szCs w:val="32"/>
          <w:lang w:eastAsia="zh-CN"/>
        </w:rPr>
        <w:t>招生</w:t>
      </w:r>
      <w:r>
        <w:rPr>
          <w:rFonts w:hint="eastAsia" w:ascii="仿宋" w:hAnsi="仿宋" w:eastAsia="仿宋" w:cs="仿宋"/>
          <w:spacing w:val="-6"/>
          <w:sz w:val="32"/>
          <w:szCs w:val="32"/>
        </w:rPr>
        <w:t>1503人，比2018年度增加了</w:t>
      </w:r>
      <w:r>
        <w:rPr>
          <w:rFonts w:hint="eastAsia" w:ascii="仿宋" w:hAnsi="仿宋" w:eastAsia="仿宋" w:cs="仿宋"/>
          <w:spacing w:val="-6"/>
          <w:sz w:val="32"/>
          <w:szCs w:val="32"/>
          <w:lang w:val="en-US" w:eastAsia="zh-CN"/>
        </w:rPr>
        <w:t>878</w:t>
      </w:r>
      <w:r>
        <w:rPr>
          <w:rFonts w:hint="eastAsia" w:ascii="仿宋" w:hAnsi="仿宋" w:eastAsia="仿宋" w:cs="仿宋"/>
          <w:spacing w:val="-6"/>
          <w:sz w:val="32"/>
          <w:szCs w:val="32"/>
        </w:rPr>
        <w:t>人，增</w:t>
      </w:r>
      <w:r>
        <w:rPr>
          <w:rFonts w:hint="eastAsia" w:ascii="仿宋" w:hAnsi="仿宋" w:eastAsia="仿宋" w:cs="仿宋"/>
          <w:spacing w:val="-6"/>
          <w:sz w:val="32"/>
          <w:szCs w:val="32"/>
          <w:lang w:eastAsia="zh-CN"/>
        </w:rPr>
        <w:t>幅</w:t>
      </w:r>
      <w:r>
        <w:rPr>
          <w:rFonts w:hint="eastAsia" w:ascii="仿宋" w:hAnsi="仿宋" w:eastAsia="仿宋" w:cs="仿宋"/>
          <w:spacing w:val="-6"/>
          <w:sz w:val="32"/>
          <w:szCs w:val="32"/>
        </w:rPr>
        <w:t>4</w:t>
      </w: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6</w:t>
      </w:r>
      <w:r>
        <w:rPr>
          <w:rFonts w:hint="eastAsia" w:ascii="仿宋" w:hAnsi="仿宋" w:eastAsia="仿宋" w:cs="仿宋"/>
          <w:spacing w:val="-6"/>
          <w:sz w:val="32"/>
          <w:szCs w:val="32"/>
        </w:rPr>
        <w:t>%。招生对象为初中应届毕业生，年龄主要在15到17周岁之间，</w:t>
      </w:r>
      <w:r>
        <w:rPr>
          <w:rFonts w:hint="eastAsia" w:ascii="仿宋" w:hAnsi="仿宋" w:eastAsia="仿宋" w:cs="仿宋"/>
          <w:spacing w:val="-6"/>
          <w:sz w:val="32"/>
          <w:szCs w:val="32"/>
          <w:lang w:eastAsia="zh-CN"/>
        </w:rPr>
        <w:t>主要开设</w:t>
      </w:r>
      <w:r>
        <w:rPr>
          <w:rFonts w:hint="eastAsia" w:ascii="仿宋" w:hAnsi="仿宋" w:eastAsia="仿宋" w:cs="仿宋"/>
          <w:spacing w:val="-6"/>
          <w:sz w:val="32"/>
          <w:szCs w:val="32"/>
        </w:rPr>
        <w:t>运动训练专业，学制三年。2018年毕业生181人，2019年毕业生721人，</w:t>
      </w:r>
      <w:r>
        <w:rPr>
          <w:rFonts w:hint="eastAsia" w:ascii="仿宋" w:hAnsi="仿宋" w:eastAsia="仿宋" w:cs="仿宋"/>
          <w:spacing w:val="-6"/>
          <w:sz w:val="32"/>
          <w:szCs w:val="32"/>
          <w:lang w:eastAsia="zh-CN"/>
        </w:rPr>
        <w:t>在校生</w:t>
      </w:r>
      <w:r>
        <w:rPr>
          <w:rFonts w:hint="eastAsia" w:ascii="仿宋" w:hAnsi="仿宋" w:eastAsia="仿宋" w:cs="仿宋"/>
          <w:spacing w:val="-6"/>
          <w:sz w:val="32"/>
          <w:szCs w:val="32"/>
        </w:rPr>
        <w:t>巩固率为94.7%。</w:t>
      </w:r>
    </w:p>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color w:val="000000"/>
          <w:kern w:val="0"/>
          <w:sz w:val="32"/>
          <w:szCs w:val="32"/>
        </w:rPr>
      </w:pPr>
      <w:r>
        <w:rPr>
          <w:rStyle w:val="14"/>
          <w:rFonts w:hint="eastAsia" w:ascii="仿宋" w:hAnsi="仿宋" w:eastAsia="仿宋" w:cs="仿宋"/>
          <w:color w:val="000000"/>
          <w:kern w:val="0"/>
          <w:sz w:val="32"/>
          <w:szCs w:val="32"/>
          <w:lang w:val="en-US" w:eastAsia="zh-CN"/>
        </w:rPr>
        <w:t>表1-1：2018-2019年新生</w:t>
      </w:r>
      <w:r>
        <w:rPr>
          <w:rStyle w:val="14"/>
          <w:rFonts w:hint="eastAsia" w:ascii="仿宋" w:hAnsi="仿宋" w:eastAsia="仿宋" w:cs="仿宋"/>
          <w:color w:val="000000"/>
          <w:kern w:val="0"/>
          <w:sz w:val="32"/>
          <w:szCs w:val="32"/>
        </w:rPr>
        <w:t>数据</w:t>
      </w:r>
      <w:r>
        <w:rPr>
          <w:rStyle w:val="14"/>
          <w:rFonts w:hint="eastAsia" w:ascii="仿宋" w:hAnsi="仿宋" w:eastAsia="仿宋" w:cs="仿宋"/>
          <w:color w:val="000000"/>
          <w:kern w:val="0"/>
          <w:sz w:val="32"/>
          <w:szCs w:val="32"/>
          <w:lang w:eastAsia="zh-CN"/>
        </w:rPr>
        <w:t>对照</w:t>
      </w:r>
      <w:r>
        <w:rPr>
          <w:rStyle w:val="14"/>
          <w:rFonts w:hint="eastAsia" w:ascii="仿宋" w:hAnsi="仿宋" w:eastAsia="仿宋" w:cs="仿宋"/>
          <w:color w:val="000000"/>
          <w:kern w:val="0"/>
          <w:sz w:val="32"/>
          <w:szCs w:val="32"/>
        </w:rPr>
        <w:t>表      单位：人</w:t>
      </w:r>
    </w:p>
    <w:tbl>
      <w:tblPr>
        <w:tblStyle w:val="7"/>
        <w:tblW w:w="49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994"/>
        <w:gridCol w:w="2563"/>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75"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rPr>
              <w:t>年级</w:t>
            </w:r>
          </w:p>
        </w:tc>
        <w:tc>
          <w:tcPr>
            <w:tcW w:w="1115"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rPr>
              <w:t>招生人数</w:t>
            </w:r>
          </w:p>
        </w:tc>
        <w:tc>
          <w:tcPr>
            <w:tcW w:w="1433"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rPr>
              <w:t>在校人数</w:t>
            </w:r>
          </w:p>
        </w:tc>
        <w:tc>
          <w:tcPr>
            <w:tcW w:w="1674"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rPr>
              <w:t>巩固率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75"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rPr>
              <w:t>18</w:t>
            </w:r>
          </w:p>
        </w:tc>
        <w:tc>
          <w:tcPr>
            <w:tcW w:w="1115"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default" w:ascii="仿宋" w:hAnsi="仿宋" w:eastAsia="仿宋" w:cs="仿宋"/>
                <w:sz w:val="32"/>
                <w:szCs w:val="32"/>
                <w:shd w:val="clear" w:color="auto" w:fill="FFFFFF"/>
                <w:lang w:val="en-US" w:eastAsia="zh-CN"/>
              </w:rPr>
            </w:pPr>
            <w:r>
              <w:rPr>
                <w:rStyle w:val="14"/>
                <w:rFonts w:hint="eastAsia" w:ascii="仿宋" w:hAnsi="仿宋" w:eastAsia="仿宋" w:cs="仿宋"/>
                <w:sz w:val="32"/>
                <w:szCs w:val="32"/>
                <w:shd w:val="clear" w:color="auto" w:fill="FFFFFF"/>
                <w:lang w:val="en-US" w:eastAsia="zh-CN"/>
              </w:rPr>
              <w:t>625</w:t>
            </w:r>
          </w:p>
        </w:tc>
        <w:tc>
          <w:tcPr>
            <w:tcW w:w="1433"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default" w:ascii="仿宋" w:hAnsi="仿宋" w:eastAsia="仿宋" w:cs="仿宋"/>
                <w:sz w:val="32"/>
                <w:szCs w:val="32"/>
                <w:shd w:val="clear" w:color="auto" w:fill="FFFFFF"/>
                <w:lang w:val="en-US" w:eastAsia="zh-CN"/>
              </w:rPr>
            </w:pPr>
            <w:r>
              <w:rPr>
                <w:rStyle w:val="14"/>
                <w:rFonts w:hint="eastAsia" w:ascii="仿宋" w:hAnsi="仿宋" w:eastAsia="仿宋" w:cs="仿宋"/>
                <w:sz w:val="32"/>
                <w:szCs w:val="32"/>
                <w:shd w:val="clear" w:color="auto" w:fill="FFFFFF"/>
                <w:lang w:val="en-US" w:eastAsia="zh-CN"/>
              </w:rPr>
              <w:t>611</w:t>
            </w:r>
          </w:p>
        </w:tc>
        <w:tc>
          <w:tcPr>
            <w:tcW w:w="1674"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rPr>
              <w:t>9</w:t>
            </w:r>
            <w:r>
              <w:rPr>
                <w:rStyle w:val="14"/>
                <w:rFonts w:hint="eastAsia" w:ascii="仿宋" w:hAnsi="仿宋" w:eastAsia="仿宋" w:cs="仿宋"/>
                <w:sz w:val="32"/>
                <w:szCs w:val="32"/>
                <w:shd w:val="clear" w:color="auto" w:fill="FFFFFF"/>
                <w:lang w:val="en-US" w:eastAsia="zh-CN"/>
              </w:rPr>
              <w:t>7</w:t>
            </w:r>
            <w:r>
              <w:rPr>
                <w:rStyle w:val="14"/>
                <w:rFonts w:hint="eastAsia" w:ascii="仿宋" w:hAnsi="仿宋" w:eastAsia="仿宋" w:cs="仿宋"/>
                <w:sz w:val="32"/>
                <w:szCs w:val="32"/>
                <w:shd w:val="clear" w:color="auto" w:fill="FFFFFF"/>
              </w:rPr>
              <w:t>.</w:t>
            </w:r>
            <w:r>
              <w:rPr>
                <w:rStyle w:val="14"/>
                <w:rFonts w:hint="eastAsia" w:ascii="仿宋" w:hAnsi="仿宋" w:eastAsia="仿宋" w:cs="仿宋"/>
                <w:sz w:val="32"/>
                <w:szCs w:val="32"/>
                <w:shd w:val="clear" w:color="auto" w:fill="FFFFFF"/>
                <w:lang w:val="en-US" w:eastAsia="zh-CN"/>
              </w:rPr>
              <w:t>8</w:t>
            </w:r>
            <w:r>
              <w:rPr>
                <w:rStyle w:val="14"/>
                <w:rFonts w:hint="eastAsia" w:ascii="仿宋" w:hAnsi="仿宋" w:eastAsia="仿宋" w:cs="仿宋"/>
                <w:sz w:val="32"/>
                <w:szCs w:val="3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75"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rPr>
              <w:t>19</w:t>
            </w:r>
          </w:p>
        </w:tc>
        <w:tc>
          <w:tcPr>
            <w:tcW w:w="1115"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rPr>
              <w:t>1503</w:t>
            </w:r>
          </w:p>
        </w:tc>
        <w:tc>
          <w:tcPr>
            <w:tcW w:w="1433"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default" w:ascii="仿宋" w:hAnsi="仿宋" w:eastAsia="仿宋" w:cs="仿宋"/>
                <w:sz w:val="32"/>
                <w:szCs w:val="32"/>
                <w:shd w:val="clear" w:color="auto" w:fill="FFFFFF"/>
                <w:lang w:val="en-US" w:eastAsia="zh-CN"/>
              </w:rPr>
            </w:pPr>
            <w:r>
              <w:rPr>
                <w:rStyle w:val="14"/>
                <w:rFonts w:hint="eastAsia" w:ascii="仿宋" w:hAnsi="仿宋" w:eastAsia="仿宋" w:cs="仿宋"/>
                <w:sz w:val="32"/>
                <w:szCs w:val="32"/>
                <w:shd w:val="clear" w:color="auto" w:fill="FFFFFF"/>
                <w:lang w:val="en-US" w:eastAsia="zh-CN"/>
              </w:rPr>
              <w:t>1503</w:t>
            </w:r>
          </w:p>
        </w:tc>
        <w:tc>
          <w:tcPr>
            <w:tcW w:w="1674" w:type="pct"/>
            <w:shd w:val="clear" w:color="auto" w:fill="auto"/>
            <w:noWrap/>
            <w:vAlign w:val="center"/>
          </w:tcPr>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lang w:val="en-US" w:eastAsia="zh-CN"/>
              </w:rPr>
              <w:t>100</w:t>
            </w:r>
            <w:r>
              <w:rPr>
                <w:rStyle w:val="14"/>
                <w:rFonts w:hint="eastAsia" w:ascii="仿宋" w:hAnsi="仿宋" w:eastAsia="仿宋" w:cs="仿宋"/>
                <w:sz w:val="32"/>
                <w:szCs w:val="32"/>
                <w:shd w:val="clear" w:color="auto" w:fill="FFFFFF"/>
              </w:rPr>
              <w:t>%</w:t>
            </w:r>
          </w:p>
        </w:tc>
      </w:tr>
    </w:tbl>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1.3</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教师队伍</w:t>
      </w:r>
    </w:p>
    <w:p>
      <w:pPr>
        <w:keepNext w:val="0"/>
        <w:keepLines w:val="0"/>
        <w:pageBreakBefore w:val="0"/>
        <w:widowControl/>
        <w:kinsoku/>
        <w:wordWrap/>
        <w:overflowPunct/>
        <w:topLinePunct w:val="0"/>
        <w:autoSpaceDE/>
        <w:autoSpaceDN/>
        <w:bidi w:val="0"/>
        <w:spacing w:line="59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学校现有专任教师120名，生师比为20.5：1，其中专业课教师为55名，文化课教师65名，其中专业课双师型教师为20名，比例达到专业课教师 36.4%。专任教师本科以上学历为60名，占比为50%，专任教师高级教师3名，占比为2.5%，学校聘请兼职教师3 人，占专任教师 2.5%。</w:t>
      </w:r>
    </w:p>
    <w:p>
      <w:pPr>
        <w:keepNext w:val="0"/>
        <w:keepLines w:val="0"/>
        <w:pageBreakBefore w:val="0"/>
        <w:widowControl/>
        <w:kinsoku/>
        <w:wordWrap/>
        <w:overflowPunct/>
        <w:topLinePunct w:val="0"/>
        <w:autoSpaceDE/>
        <w:autoSpaceDN/>
        <w:bidi w:val="0"/>
        <w:spacing w:line="590" w:lineRule="exact"/>
        <w:jc w:val="center"/>
        <w:textAlignment w:val="auto"/>
        <w:rPr>
          <w:rStyle w:val="14"/>
          <w:rFonts w:hint="eastAsia" w:ascii="仿宋" w:hAnsi="仿宋" w:eastAsia="仿宋" w:cs="仿宋"/>
          <w:color w:val="000000"/>
          <w:kern w:val="0"/>
          <w:sz w:val="32"/>
          <w:szCs w:val="32"/>
        </w:rPr>
      </w:pPr>
      <w:r>
        <w:rPr>
          <w:rStyle w:val="14"/>
          <w:rFonts w:hint="eastAsia" w:ascii="仿宋" w:hAnsi="仿宋" w:eastAsia="仿宋" w:cs="仿宋"/>
          <w:color w:val="000000"/>
          <w:kern w:val="0"/>
          <w:sz w:val="32"/>
          <w:szCs w:val="32"/>
          <w:lang w:val="en-US" w:eastAsia="zh-CN"/>
        </w:rPr>
        <w:t>表1-2：2018-2019年</w:t>
      </w:r>
      <w:r>
        <w:rPr>
          <w:rStyle w:val="14"/>
          <w:rFonts w:hint="eastAsia" w:ascii="仿宋" w:hAnsi="仿宋" w:eastAsia="仿宋" w:cs="仿宋"/>
          <w:color w:val="000000"/>
          <w:kern w:val="0"/>
          <w:sz w:val="32"/>
          <w:szCs w:val="32"/>
          <w:lang w:eastAsia="zh-CN"/>
        </w:rPr>
        <w:t>师资队伍情况</w:t>
      </w:r>
      <w:r>
        <w:rPr>
          <w:rStyle w:val="14"/>
          <w:rFonts w:hint="eastAsia" w:ascii="仿宋" w:hAnsi="仿宋" w:eastAsia="仿宋" w:cs="仿宋"/>
          <w:color w:val="000000"/>
          <w:kern w:val="0"/>
          <w:sz w:val="32"/>
          <w:szCs w:val="32"/>
        </w:rPr>
        <w:t>表       单位：人</w:t>
      </w:r>
    </w:p>
    <w:tbl>
      <w:tblPr>
        <w:tblStyle w:val="8"/>
        <w:tblpPr w:leftFromText="180" w:rightFromText="180" w:vertAnchor="text" w:horzAnchor="page" w:tblpX="1576" w:tblpY="186"/>
        <w:tblOverlap w:val="never"/>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70"/>
        <w:gridCol w:w="1065"/>
        <w:gridCol w:w="1155"/>
        <w:gridCol w:w="930"/>
        <w:gridCol w:w="789"/>
        <w:gridCol w:w="1090"/>
        <w:gridCol w:w="788"/>
        <w:gridCol w:w="85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21" w:type="dxa"/>
            <w:vAlign w:val="center"/>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年度</w:t>
            </w:r>
          </w:p>
        </w:tc>
        <w:tc>
          <w:tcPr>
            <w:tcW w:w="870"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教师总数</w:t>
            </w:r>
          </w:p>
        </w:tc>
        <w:tc>
          <w:tcPr>
            <w:tcW w:w="1065"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专任教师数</w:t>
            </w:r>
          </w:p>
        </w:tc>
        <w:tc>
          <w:tcPr>
            <w:tcW w:w="1155"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师生比</w:t>
            </w:r>
          </w:p>
        </w:tc>
        <w:tc>
          <w:tcPr>
            <w:tcW w:w="930"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兼职教师数</w:t>
            </w:r>
          </w:p>
        </w:tc>
        <w:tc>
          <w:tcPr>
            <w:tcW w:w="789" w:type="dxa"/>
            <w:vAlign w:val="center"/>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专业课教师</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rPr>
              <w:t>数</w:t>
            </w:r>
          </w:p>
        </w:tc>
        <w:tc>
          <w:tcPr>
            <w:tcW w:w="109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占比</w:t>
            </w:r>
          </w:p>
        </w:tc>
        <w:tc>
          <w:tcPr>
            <w:tcW w:w="788" w:type="dxa"/>
            <w:vAlign w:val="center"/>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双师教师数</w:t>
            </w:r>
          </w:p>
        </w:tc>
        <w:tc>
          <w:tcPr>
            <w:tcW w:w="858" w:type="dxa"/>
            <w:vAlign w:val="center"/>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占比</w:t>
            </w:r>
          </w:p>
        </w:tc>
        <w:tc>
          <w:tcPr>
            <w:tcW w:w="900"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高级教师数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21" w:type="dxa"/>
            <w:vAlign w:val="center"/>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2018</w:t>
            </w:r>
          </w:p>
        </w:tc>
        <w:tc>
          <w:tcPr>
            <w:tcW w:w="87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101</w:t>
            </w:r>
          </w:p>
        </w:tc>
        <w:tc>
          <w:tcPr>
            <w:tcW w:w="1065"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96</w:t>
            </w:r>
          </w:p>
        </w:tc>
        <w:tc>
          <w:tcPr>
            <w:tcW w:w="1155"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14.9：1</w:t>
            </w:r>
          </w:p>
        </w:tc>
        <w:tc>
          <w:tcPr>
            <w:tcW w:w="93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75</w:t>
            </w:r>
          </w:p>
        </w:tc>
        <w:tc>
          <w:tcPr>
            <w:tcW w:w="789"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60</w:t>
            </w:r>
          </w:p>
        </w:tc>
        <w:tc>
          <w:tcPr>
            <w:tcW w:w="109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37.5%</w:t>
            </w:r>
          </w:p>
        </w:tc>
        <w:tc>
          <w:tcPr>
            <w:tcW w:w="788"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16</w:t>
            </w:r>
          </w:p>
        </w:tc>
        <w:tc>
          <w:tcPr>
            <w:tcW w:w="858" w:type="dxa"/>
            <w:vAlign w:val="center"/>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26.7%</w:t>
            </w:r>
          </w:p>
        </w:tc>
        <w:tc>
          <w:tcPr>
            <w:tcW w:w="90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21" w:type="dxa"/>
            <w:vAlign w:val="center"/>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2019</w:t>
            </w:r>
          </w:p>
        </w:tc>
        <w:tc>
          <w:tcPr>
            <w:tcW w:w="87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123</w:t>
            </w:r>
          </w:p>
        </w:tc>
        <w:tc>
          <w:tcPr>
            <w:tcW w:w="1065"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120</w:t>
            </w:r>
          </w:p>
        </w:tc>
        <w:tc>
          <w:tcPr>
            <w:tcW w:w="1155"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20.5：1</w:t>
            </w:r>
          </w:p>
        </w:tc>
        <w:tc>
          <w:tcPr>
            <w:tcW w:w="93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3</w:t>
            </w:r>
          </w:p>
        </w:tc>
        <w:tc>
          <w:tcPr>
            <w:tcW w:w="789"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55</w:t>
            </w:r>
          </w:p>
        </w:tc>
        <w:tc>
          <w:tcPr>
            <w:tcW w:w="109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45.8%</w:t>
            </w:r>
          </w:p>
        </w:tc>
        <w:tc>
          <w:tcPr>
            <w:tcW w:w="788"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20</w:t>
            </w:r>
          </w:p>
        </w:tc>
        <w:tc>
          <w:tcPr>
            <w:tcW w:w="858" w:type="dxa"/>
            <w:vAlign w:val="center"/>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36.4%</w:t>
            </w:r>
          </w:p>
        </w:tc>
        <w:tc>
          <w:tcPr>
            <w:tcW w:w="900" w:type="dxa"/>
            <w:vAlign w:val="center"/>
          </w:tcPr>
          <w:p>
            <w:pPr>
              <w:keepNext w:val="0"/>
              <w:keepLines w:val="0"/>
              <w:pageBreakBefore w:val="0"/>
              <w:kinsoku/>
              <w:wordWrap/>
              <w:overflowPunct/>
              <w:topLinePunct w:val="0"/>
              <w:autoSpaceDE/>
              <w:autoSpaceDN/>
              <w:bidi w:val="0"/>
              <w:spacing w:line="590" w:lineRule="exact"/>
              <w:ind w:firstLine="228" w:firstLineChars="1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3</w:t>
            </w:r>
          </w:p>
        </w:tc>
      </w:tr>
    </w:tbl>
    <w:p>
      <w:pPr>
        <w:keepNext w:val="0"/>
        <w:keepLines w:val="0"/>
        <w:pageBreakBefore w:val="0"/>
        <w:widowControl/>
        <w:kinsoku/>
        <w:wordWrap/>
        <w:overflowPunct/>
        <w:topLinePunct w:val="0"/>
        <w:autoSpaceDE/>
        <w:autoSpaceDN/>
        <w:bidi w:val="0"/>
        <w:spacing w:line="590" w:lineRule="exact"/>
        <w:ind w:firstLine="960" w:firstLineChars="300"/>
        <w:jc w:val="both"/>
        <w:textAlignment w:val="auto"/>
        <w:rPr>
          <w:rStyle w:val="14"/>
          <w:rFonts w:hint="eastAsia" w:ascii="仿宋" w:hAnsi="仿宋" w:eastAsia="仿宋" w:cs="仿宋"/>
          <w:color w:val="000000"/>
          <w:kern w:val="0"/>
          <w:sz w:val="32"/>
          <w:szCs w:val="32"/>
        </w:rPr>
      </w:pP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1.4</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设施设备</w:t>
      </w: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1.4.1</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实训条件不断改善</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2018年度学校教学仪器设备总值600万元，生均设备值4000元，2019年度学校教学仪器设备总值1100万元，生均设备值为4471元。</w:t>
      </w:r>
    </w:p>
    <w:p>
      <w:pPr>
        <w:keepNext w:val="0"/>
        <w:keepLines w:val="0"/>
        <w:pageBreakBefore w:val="0"/>
        <w:kinsoku/>
        <w:wordWrap/>
        <w:overflowPunct/>
        <w:topLinePunct w:val="0"/>
        <w:autoSpaceDE/>
        <w:autoSpaceDN/>
        <w:bidi w:val="0"/>
        <w:spacing w:line="59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2019年学校升级改造原有实训场地，增建新实训基地双向并举的发展策略，学生实习工位数不断增长，在2018年度已有1000个工位数的基础上，又新增加学生实训实习工位数600个，总实训实习工位数已达到1600个，同时生均实训实习工位数也由2018年0.48个增至0.56个，增长了0.08个。</w:t>
      </w: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仿宋" w:hAnsi="仿宋" w:eastAsia="仿宋" w:cs="仿宋"/>
          <w:sz w:val="32"/>
          <w:szCs w:val="32"/>
        </w:rPr>
      </w:pPr>
      <w:r>
        <w:rPr>
          <w:rFonts w:hint="eastAsia" w:ascii="仿宋" w:hAnsi="仿宋" w:eastAsia="仿宋" w:cs="仿宋"/>
          <w:b/>
          <w:bCs/>
          <w:spacing w:val="-6"/>
          <w:sz w:val="32"/>
          <w:szCs w:val="32"/>
        </w:rPr>
        <w:t>1.4.2</w:t>
      </w:r>
      <w:r>
        <w:rPr>
          <w:rFonts w:hint="eastAsia" w:ascii="仿宋" w:hAnsi="仿宋" w:eastAsia="仿宋" w:cs="仿宋"/>
          <w:b/>
          <w:bCs/>
          <w:spacing w:val="-6"/>
          <w:sz w:val="32"/>
          <w:szCs w:val="32"/>
          <w:lang w:val="en-US" w:eastAsia="zh-CN"/>
        </w:rPr>
        <w:t xml:space="preserve">  图书资源不断丰富。</w:t>
      </w:r>
      <w:r>
        <w:rPr>
          <w:rFonts w:hint="eastAsia" w:ascii="仿宋" w:hAnsi="仿宋" w:eastAsia="仿宋" w:cs="仿宋"/>
          <w:spacing w:val="-6"/>
          <w:sz w:val="32"/>
          <w:szCs w:val="32"/>
        </w:rPr>
        <w:t>学校现有纸质图书1.2万册，2018年度生均图书6册，2019年度生均图书4.9册。近年来，随着校园网络全覆盖的实现，学生的阅读方式正在转向更加便捷高效的电子图书阅览形式，课外时间走进图书室借阅纸质图书的人数急剧减少，纸质图书的使用价值大打折扣。在纸质图书建设方面，学校计划突出精品性、典型性、专业性、实效性等原则，按照实际需要，分批次、小数量逐步增加购置数量，不断扩大图书总量。</w:t>
      </w:r>
    </w:p>
    <w:p>
      <w:pPr>
        <w:keepNext w:val="0"/>
        <w:keepLines w:val="0"/>
        <w:pageBreakBefore w:val="0"/>
        <w:kinsoku/>
        <w:wordWrap/>
        <w:overflowPunct/>
        <w:topLinePunct w:val="0"/>
        <w:autoSpaceDE/>
        <w:autoSpaceDN/>
        <w:bidi w:val="0"/>
        <w:spacing w:line="590" w:lineRule="exact"/>
        <w:jc w:val="both"/>
        <w:textAlignment w:val="auto"/>
        <w:rPr>
          <w:rFonts w:hint="eastAsia" w:ascii="黑体" w:hAnsi="黑体" w:eastAsia="黑体" w:cs="黑体"/>
          <w:b/>
          <w:color w:val="000000"/>
          <w:kern w:val="0"/>
          <w:sz w:val="32"/>
          <w:szCs w:val="32"/>
          <w:lang w:val="en-US" w:eastAsia="zh-CN" w:bidi="ar"/>
        </w:rPr>
      </w:pPr>
    </w:p>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黑体" w:hAnsi="黑体" w:eastAsia="黑体" w:cs="黑体"/>
          <w:b/>
          <w:color w:val="000000"/>
          <w:kern w:val="0"/>
          <w:sz w:val="32"/>
          <w:szCs w:val="32"/>
          <w:lang w:val="en-US" w:eastAsia="zh-CN" w:bidi="ar"/>
        </w:rPr>
        <w:t>第二部分  学生发展</w:t>
      </w: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2.1</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学生素质</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z w:val="32"/>
          <w:szCs w:val="32"/>
        </w:rPr>
      </w:pPr>
      <w:r>
        <w:rPr>
          <w:rFonts w:hint="eastAsia" w:ascii="仿宋" w:hAnsi="仿宋" w:eastAsia="仿宋" w:cs="仿宋"/>
          <w:b/>
          <w:bCs/>
          <w:sz w:val="32"/>
          <w:szCs w:val="32"/>
        </w:rPr>
        <w:t>2.1.1</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学生思想政治状况。</w:t>
      </w:r>
      <w:r>
        <w:rPr>
          <w:rFonts w:hint="eastAsia" w:ascii="仿宋" w:hAnsi="仿宋" w:eastAsia="仿宋" w:cs="仿宋"/>
          <w:sz w:val="32"/>
          <w:szCs w:val="32"/>
        </w:rPr>
        <w:t>学校以传承和弘扬社会主义核心价值观为核心，坚决拥护中国共产党领导，树立中国特色社会主义共同理想，践行社会主义核心价值观，具有深厚的爱国情感、国家认同感、中华民族自豪感，崇尚宪法、遵守法律、遵规守纪，努力践行习近平新时代中国特色社会主义思想，提升社会责任感和参与意识。</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z w:val="32"/>
          <w:szCs w:val="32"/>
        </w:rPr>
      </w:pPr>
      <w:r>
        <w:rPr>
          <w:rFonts w:hint="eastAsia" w:ascii="仿宋" w:hAnsi="仿宋" w:eastAsia="仿宋" w:cs="仿宋"/>
          <w:sz w:val="32"/>
          <w:szCs w:val="32"/>
        </w:rPr>
        <w:t>结合校园文化，</w:t>
      </w:r>
      <w:r>
        <w:rPr>
          <w:rFonts w:hint="eastAsia" w:ascii="仿宋" w:hAnsi="仿宋" w:eastAsia="仿宋" w:cs="仿宋"/>
          <w:sz w:val="32"/>
          <w:szCs w:val="32"/>
          <w:lang w:eastAsia="zh-CN"/>
        </w:rPr>
        <w:t>学校</w:t>
      </w:r>
      <w:r>
        <w:rPr>
          <w:rFonts w:hint="eastAsia" w:ascii="仿宋" w:hAnsi="仿宋" w:eastAsia="仿宋" w:cs="仿宋"/>
          <w:sz w:val="32"/>
          <w:szCs w:val="32"/>
        </w:rPr>
        <w:t>组织开展</w:t>
      </w:r>
      <w:r>
        <w:rPr>
          <w:rFonts w:hint="eastAsia" w:ascii="仿宋" w:hAnsi="仿宋" w:eastAsia="仿宋" w:cs="仿宋"/>
          <w:sz w:val="32"/>
          <w:szCs w:val="32"/>
          <w:lang w:eastAsia="zh-CN"/>
        </w:rPr>
        <w:t>了</w:t>
      </w:r>
      <w:r>
        <w:rPr>
          <w:rFonts w:hint="eastAsia" w:ascii="仿宋" w:hAnsi="仿宋" w:eastAsia="仿宋" w:cs="仿宋"/>
          <w:sz w:val="32"/>
          <w:szCs w:val="32"/>
        </w:rPr>
        <w:t>“祖国70华诞歌咏比赛”，深入实施特色德育模式，积极开展班级专业观摩课、特色升旗仪式、文明礼貌月活动、法制报告会、心理健康教育、母亲节活动、队列比赛等。不断加强对学生的养成教育，发展优良个性，培育幸福成长观；建立健全学生会、团总支等学生自治组织，培养学生自我教育、自我管理、自我服务能力。学生初步形成了良好的</w:t>
      </w:r>
      <w:r>
        <w:rPr>
          <w:rFonts w:hint="eastAsia" w:ascii="仿宋" w:hAnsi="仿宋" w:eastAsia="仿宋" w:cs="仿宋"/>
          <w:sz w:val="32"/>
          <w:szCs w:val="32"/>
          <w:lang w:eastAsia="zh-CN"/>
        </w:rPr>
        <w:t>行为习惯</w:t>
      </w:r>
      <w:r>
        <w:rPr>
          <w:rFonts w:hint="eastAsia" w:ascii="仿宋" w:hAnsi="仿宋" w:eastAsia="仿宋" w:cs="仿宋"/>
          <w:sz w:val="32"/>
          <w:szCs w:val="32"/>
        </w:rPr>
        <w:t>，能积极参加学校、</w:t>
      </w:r>
      <w:r>
        <w:rPr>
          <w:rFonts w:hint="eastAsia" w:ascii="仿宋" w:hAnsi="仿宋" w:eastAsia="仿宋" w:cs="仿宋"/>
          <w:sz w:val="32"/>
          <w:szCs w:val="32"/>
          <w:lang w:eastAsia="zh-CN"/>
        </w:rPr>
        <w:t>班级</w:t>
      </w:r>
      <w:r>
        <w:rPr>
          <w:rFonts w:hint="eastAsia" w:ascii="仿宋" w:hAnsi="仿宋" w:eastAsia="仿宋" w:cs="仿宋"/>
          <w:sz w:val="32"/>
          <w:szCs w:val="32"/>
        </w:rPr>
        <w:t>组织的各项活动，遵守纪律、尊敬师长、团结同学、爱护公物、关心集体，政治思想素质不断提升，毕业生政治思想素质和业务素质得到用人单位的肯定。</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71552" behindDoc="0" locked="0" layoutInCell="1" allowOverlap="1">
            <wp:simplePos x="0" y="0"/>
            <wp:positionH relativeFrom="column">
              <wp:posOffset>3058160</wp:posOffset>
            </wp:positionH>
            <wp:positionV relativeFrom="paragraph">
              <wp:posOffset>248285</wp:posOffset>
            </wp:positionV>
            <wp:extent cx="2482850" cy="1743710"/>
            <wp:effectExtent l="160655" t="141605" r="175895" b="172085"/>
            <wp:wrapNone/>
            <wp:docPr id="4" name="图片 3" descr="C:\Users\Administrator\Desktop\登封中岳中等专业学校编制报告\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strator\Desktop\登封中岳中等专业学校编制报告\6.jpg"/>
                    <pic:cNvPicPr>
                      <a:picLocks noChangeAspect="1" noChangeArrowheads="1"/>
                    </pic:cNvPicPr>
                  </pic:nvPicPr>
                  <pic:blipFill>
                    <a:blip r:embed="rId5" cstate="print"/>
                    <a:stretch>
                      <a:fillRect/>
                    </a:stretch>
                  </pic:blipFill>
                  <pic:spPr>
                    <a:xfrm>
                      <a:off x="0" y="0"/>
                      <a:ext cx="2482850" cy="1743710"/>
                    </a:xfrm>
                    <a:prstGeom prst="roundRect">
                      <a:avLst/>
                    </a:prstGeom>
                    <a:ln>
                      <a:noFill/>
                    </a:ln>
                    <a:effectLst>
                      <a:outerShdw blurRad="190500" algn="tl" rotWithShape="0">
                        <a:srgbClr val="000000">
                          <a:alpha val="70000"/>
                        </a:srgbClr>
                      </a:outerShdw>
                    </a:effectLst>
                  </pic:spPr>
                </pic:pic>
              </a:graphicData>
            </a:graphic>
          </wp:anchor>
        </w:drawing>
      </w:r>
      <w:r>
        <w:rPr>
          <w:rFonts w:hint="eastAsia" w:ascii="仿宋" w:hAnsi="仿宋" w:eastAsia="仿宋" w:cs="仿宋"/>
          <w:sz w:val="32"/>
          <w:szCs w:val="32"/>
        </w:rPr>
        <w:drawing>
          <wp:anchor distT="0" distB="0" distL="114300" distR="114300" simplePos="0" relativeHeight="251670528" behindDoc="0" locked="0" layoutInCell="1" allowOverlap="1">
            <wp:simplePos x="0" y="0"/>
            <wp:positionH relativeFrom="column">
              <wp:posOffset>14605</wp:posOffset>
            </wp:positionH>
            <wp:positionV relativeFrom="paragraph">
              <wp:posOffset>241935</wp:posOffset>
            </wp:positionV>
            <wp:extent cx="2602865" cy="1863090"/>
            <wp:effectExtent l="160655" t="141605" r="151130" b="167005"/>
            <wp:wrapNone/>
            <wp:docPr id="3" name="图片 2" descr="C:\Users\Administrator\Desktop\登封中岳中等专业学校编制报告\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Desktop\登封中岳中等专业学校编制报告\5.jpg"/>
                    <pic:cNvPicPr>
                      <a:picLocks noChangeAspect="1" noChangeArrowheads="1"/>
                    </pic:cNvPicPr>
                  </pic:nvPicPr>
                  <pic:blipFill>
                    <a:blip r:embed="rId6" cstate="print">
                      <a:lum bright="10000"/>
                    </a:blip>
                    <a:srcRect b="7893"/>
                    <a:stretch>
                      <a:fillRect/>
                    </a:stretch>
                  </pic:blipFill>
                  <pic:spPr>
                    <a:xfrm>
                      <a:off x="0" y="0"/>
                      <a:ext cx="2602865" cy="1863090"/>
                    </a:xfrm>
                    <a:prstGeom prst="roundRect">
                      <a:avLst/>
                    </a:prstGeom>
                    <a:ln>
                      <a:noFill/>
                    </a:ln>
                    <a:effectLst>
                      <a:outerShdw blurRad="190500" algn="tl" rotWithShape="0">
                        <a:srgbClr val="000000">
                          <a:alpha val="70000"/>
                        </a:srgbClr>
                      </a:outerShdw>
                    </a:effectLst>
                  </pic:spPr>
                </pic:pic>
              </a:graphicData>
            </a:graphic>
          </wp:anchor>
        </w:drawing>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0" w:lineRule="exact"/>
        <w:ind w:firstLine="840" w:firstLineChars="3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kinsoku/>
        <w:wordWrap/>
        <w:overflowPunct/>
        <w:topLinePunct w:val="0"/>
        <w:autoSpaceDE/>
        <w:autoSpaceDN/>
        <w:bidi w:val="0"/>
        <w:spacing w:line="590" w:lineRule="exact"/>
        <w:ind w:firstLine="280" w:firstLineChars="100"/>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spacing w:line="59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lang w:eastAsia="zh-CN"/>
        </w:rPr>
        <w:t>（参与中岳景区社会服务）</w:t>
      </w:r>
      <w:r>
        <w:rPr>
          <w:rFonts w:hint="eastAsia" w:ascii="仿宋" w:hAnsi="仿宋" w:eastAsia="仿宋" w:cs="仿宋"/>
          <w:sz w:val="24"/>
          <w:szCs w:val="24"/>
          <w:lang w:val="en-US" w:eastAsia="zh-CN"/>
        </w:rPr>
        <w:t xml:space="preserve">           </w:t>
      </w:r>
      <w:r>
        <w:rPr>
          <w:rFonts w:hint="eastAsia" w:ascii="仿宋" w:hAnsi="仿宋" w:eastAsia="仿宋" w:cs="仿宋"/>
          <w:sz w:val="28"/>
          <w:szCs w:val="28"/>
          <w:lang w:val="en-US" w:eastAsia="zh-CN"/>
        </w:rPr>
        <w:t>（第十一届民动会现场表演）</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73600" behindDoc="0" locked="0" layoutInCell="1" allowOverlap="1">
            <wp:simplePos x="0" y="0"/>
            <wp:positionH relativeFrom="column">
              <wp:posOffset>3195320</wp:posOffset>
            </wp:positionH>
            <wp:positionV relativeFrom="paragraph">
              <wp:posOffset>-476885</wp:posOffset>
            </wp:positionV>
            <wp:extent cx="2402840" cy="1859915"/>
            <wp:effectExtent l="10795" t="0" r="24765" b="559435"/>
            <wp:wrapNone/>
            <wp:docPr id="7" name="图片 5" descr="C:\Users\Administrator\Desktop\登封中岳中等专业学校编制报告\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C:\Users\Administrator\Desktop\登封中岳中等专业学校编制报告\9.jpg"/>
                    <pic:cNvPicPr>
                      <a:picLocks noChangeAspect="1" noChangeArrowheads="1"/>
                    </pic:cNvPicPr>
                  </pic:nvPicPr>
                  <pic:blipFill>
                    <a:blip r:embed="rId7" cstate="print">
                      <a:lum bright="10000"/>
                    </a:blip>
                    <a:srcRect b="8458"/>
                    <a:stretch>
                      <a:fillRect/>
                    </a:stretch>
                  </pic:blipFill>
                  <pic:spPr>
                    <a:xfrm>
                      <a:off x="0" y="0"/>
                      <a:ext cx="2402840" cy="1859915"/>
                    </a:xfrm>
                    <a:prstGeom prst="roundRect">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hint="eastAsia" w:ascii="仿宋" w:hAnsi="仿宋" w:eastAsia="仿宋" w:cs="仿宋"/>
          <w:sz w:val="32"/>
          <w:szCs w:val="32"/>
        </w:rPr>
        <w:drawing>
          <wp:anchor distT="0" distB="0" distL="114300" distR="114300" simplePos="0" relativeHeight="251672576" behindDoc="0" locked="0" layoutInCell="1" allowOverlap="1">
            <wp:simplePos x="0" y="0"/>
            <wp:positionH relativeFrom="column">
              <wp:posOffset>349885</wp:posOffset>
            </wp:positionH>
            <wp:positionV relativeFrom="paragraph">
              <wp:posOffset>-504825</wp:posOffset>
            </wp:positionV>
            <wp:extent cx="2435225" cy="1885950"/>
            <wp:effectExtent l="171450" t="133350" r="365125" b="304800"/>
            <wp:wrapNone/>
            <wp:docPr id="5" name="图片 4"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Administrator\Desktop\图片1.png图片1"/>
                    <pic:cNvPicPr>
                      <a:picLocks noChangeAspect="1" noChangeArrowheads="1"/>
                    </pic:cNvPicPr>
                  </pic:nvPicPr>
                  <pic:blipFill>
                    <a:blip r:embed="rId8">
                      <a:lum bright="10000"/>
                    </a:blip>
                    <a:srcRect/>
                    <a:stretch>
                      <a:fillRect/>
                    </a:stretch>
                  </pic:blipFill>
                  <pic:spPr>
                    <a:xfrm>
                      <a:off x="0" y="0"/>
                      <a:ext cx="2435225" cy="1885950"/>
                    </a:xfrm>
                    <a:prstGeom prst="roundRect">
                      <a:avLst/>
                    </a:prstGeom>
                    <a:ln>
                      <a:noFill/>
                    </a:ln>
                    <a:effectLst>
                      <a:outerShdw blurRad="292100" dist="139700" dir="2700000" algn="tl" rotWithShape="0">
                        <a:srgbClr val="333333">
                          <a:alpha val="65000"/>
                        </a:srgbClr>
                      </a:outerShdw>
                    </a:effectLst>
                  </pic:spPr>
                </pic:pic>
              </a:graphicData>
            </a:graphic>
          </wp:anchor>
        </w:drawing>
      </w:r>
    </w:p>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9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（全国少林拳比赛获奖学员）    （职业教育活动周专业技能展示）</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.1.2</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文化课合格率。</w:t>
      </w:r>
      <w:r>
        <w:rPr>
          <w:rFonts w:hint="eastAsia" w:ascii="仿宋" w:hAnsi="仿宋" w:eastAsia="仿宋" w:cs="仿宋"/>
          <w:sz w:val="32"/>
          <w:szCs w:val="32"/>
        </w:rPr>
        <w:t xml:space="preserve">学校开设的文化基础课目前开设五门，包括语文、数学、英语、德育、计算机应用基础。每学期有期中和期末两次考试，考试形式为闭卷，成绩采用百分制，学生成绩合格率见下表（对于成绩不合格的学生，在下个学期的第三周学校统一组织补考）  </w:t>
      </w:r>
    </w:p>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Style w:val="14"/>
          <w:rFonts w:hint="eastAsia" w:ascii="仿宋" w:hAnsi="仿宋" w:eastAsia="仿宋" w:cs="仿宋"/>
          <w:color w:val="000000"/>
          <w:kern w:val="0"/>
          <w:sz w:val="32"/>
          <w:szCs w:val="32"/>
          <w:lang w:val="en-US" w:eastAsia="zh-CN"/>
        </w:rPr>
        <w:t>表2-1：2018-2019年学生成绩合格率   单位：人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365"/>
        <w:gridCol w:w="1227"/>
        <w:gridCol w:w="1306"/>
        <w:gridCol w:w="1306"/>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43" w:type="dxa"/>
            <w:vMerge w:val="restart"/>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2018级</w:t>
            </w:r>
          </w:p>
        </w:tc>
        <w:tc>
          <w:tcPr>
            <w:tcW w:w="1365" w:type="dxa"/>
          </w:tcPr>
          <w:p>
            <w:pPr>
              <w:keepNext w:val="0"/>
              <w:keepLines w:val="0"/>
              <w:pageBreakBefore w:val="0"/>
              <w:kinsoku/>
              <w:wordWrap/>
              <w:overflowPunct/>
              <w:topLinePunct w:val="0"/>
              <w:autoSpaceDE/>
              <w:autoSpaceDN/>
              <w:bidi w:val="0"/>
              <w:spacing w:line="590" w:lineRule="exact"/>
              <w:ind w:firstLine="560" w:firstLineChars="200"/>
              <w:textAlignment w:val="auto"/>
              <w:rPr>
                <w:rFonts w:hint="eastAsia" w:ascii="仿宋" w:hAnsi="仿宋" w:eastAsia="仿宋" w:cs="仿宋"/>
                <w:sz w:val="32"/>
                <w:szCs w:val="32"/>
                <w:lang w:val="en-US" w:eastAsia="zh-CN"/>
              </w:rPr>
            </w:pPr>
            <w:r>
              <w:rPr>
                <w:rFonts w:hint="eastAsia" w:ascii="仿宋" w:hAnsi="仿宋" w:eastAsia="仿宋" w:cs="仿宋"/>
                <w:sz w:val="28"/>
                <w:szCs w:val="28"/>
              </w:rPr>
              <w:pict>
                <v:shape id="_x0000_s1026" o:spid="_x0000_s1026" o:spt="32" type="#_x0000_t32" style="position:absolute;left:0pt;margin-left:-3.55pt;margin-top:2pt;height:57.65pt;width:66.4pt;z-index:251666432;mso-width-relative:page;mso-height-relative:page;" filled="f" stroked="t" coordsize="21600,21600">
                  <v:path arrowok="t"/>
                  <v:fill on="f" focussize="0,0"/>
                  <v:stroke color="#000000"/>
                  <v:imagedata o:title=""/>
                  <o:lock v:ext="edit" aspectratio="f"/>
                </v:shape>
              </w:pict>
            </w:r>
            <w:r>
              <w:rPr>
                <w:rFonts w:hint="eastAsia" w:ascii="仿宋" w:hAnsi="仿宋" w:eastAsia="仿宋" w:cs="仿宋"/>
                <w:sz w:val="28"/>
                <w:szCs w:val="28"/>
                <w:lang w:eastAsia="zh-CN"/>
              </w:rPr>
              <w:t>科目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项目</w:t>
            </w:r>
          </w:p>
        </w:tc>
        <w:tc>
          <w:tcPr>
            <w:tcW w:w="122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语文</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数学</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英语</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德育</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24"/>
                <w:szCs w:val="24"/>
              </w:rPr>
            </w:pPr>
          </w:p>
        </w:tc>
        <w:tc>
          <w:tcPr>
            <w:tcW w:w="1365" w:type="dxa"/>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28"/>
                <w:szCs w:val="28"/>
              </w:rPr>
            </w:pPr>
            <w:r>
              <w:rPr>
                <w:rFonts w:hint="eastAsia" w:ascii="仿宋" w:hAnsi="仿宋" w:eastAsia="仿宋" w:cs="仿宋"/>
                <w:sz w:val="28"/>
                <w:szCs w:val="28"/>
              </w:rPr>
              <w:t>参加人数</w:t>
            </w:r>
          </w:p>
        </w:tc>
        <w:tc>
          <w:tcPr>
            <w:tcW w:w="122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760</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760</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760</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760</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24"/>
                <w:szCs w:val="24"/>
              </w:rPr>
            </w:pPr>
          </w:p>
        </w:tc>
        <w:tc>
          <w:tcPr>
            <w:tcW w:w="1365" w:type="dxa"/>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28"/>
                <w:szCs w:val="28"/>
              </w:rPr>
            </w:pPr>
            <w:r>
              <w:rPr>
                <w:rFonts w:hint="eastAsia" w:ascii="仿宋" w:hAnsi="仿宋" w:eastAsia="仿宋" w:cs="仿宋"/>
                <w:sz w:val="28"/>
                <w:szCs w:val="28"/>
              </w:rPr>
              <w:t>合格率</w:t>
            </w:r>
          </w:p>
        </w:tc>
        <w:tc>
          <w:tcPr>
            <w:tcW w:w="122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95%</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98%</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92%</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93%</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243" w:type="dxa"/>
            <w:vMerge w:val="restart"/>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2019级</w:t>
            </w:r>
          </w:p>
        </w:tc>
        <w:tc>
          <w:tcPr>
            <w:tcW w:w="1365" w:type="dxa"/>
          </w:tcPr>
          <w:p>
            <w:pPr>
              <w:keepNext w:val="0"/>
              <w:keepLines w:val="0"/>
              <w:pageBreakBefore w:val="0"/>
              <w:kinsoku/>
              <w:wordWrap/>
              <w:overflowPunct/>
              <w:topLinePunct w:val="0"/>
              <w:autoSpaceDE/>
              <w:autoSpaceDN/>
              <w:bidi w:val="0"/>
              <w:spacing w:line="59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pict>
                <v:shape id="_x0000_s1027" o:spid="_x0000_s1027" o:spt="32" type="#_x0000_t32" style="position:absolute;left:0pt;margin-left:-3.55pt;margin-top:2pt;height:58.15pt;width:67.15pt;z-index:251668480;mso-width-relative:page;mso-height-relative:page;" filled="f" stroked="t" coordsize="21600,21600">
                  <v:path arrowok="t"/>
                  <v:fill on="f" focussize="0,0"/>
                  <v:stroke color="#000000"/>
                  <v:imagedata o:title=""/>
                  <o:lock v:ext="edit" aspectratio="f"/>
                </v:shape>
              </w:pict>
            </w:r>
            <w:r>
              <w:rPr>
                <w:rFonts w:hint="eastAsia" w:ascii="仿宋" w:hAnsi="仿宋" w:eastAsia="仿宋" w:cs="仿宋"/>
                <w:sz w:val="28"/>
                <w:szCs w:val="28"/>
                <w:lang w:eastAsia="zh-CN"/>
              </w:rPr>
              <w:t>科目项目</w:t>
            </w:r>
          </w:p>
        </w:tc>
        <w:tc>
          <w:tcPr>
            <w:tcW w:w="122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语文</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数学</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英语</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德育</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32"/>
                <w:szCs w:val="32"/>
              </w:rPr>
            </w:pPr>
          </w:p>
        </w:tc>
        <w:tc>
          <w:tcPr>
            <w:tcW w:w="1365" w:type="dxa"/>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28"/>
                <w:szCs w:val="28"/>
              </w:rPr>
            </w:pPr>
            <w:r>
              <w:rPr>
                <w:rFonts w:hint="eastAsia" w:ascii="仿宋" w:hAnsi="仿宋" w:eastAsia="仿宋" w:cs="仿宋"/>
                <w:sz w:val="28"/>
                <w:szCs w:val="28"/>
              </w:rPr>
              <w:t>参加人数</w:t>
            </w:r>
          </w:p>
        </w:tc>
        <w:tc>
          <w:tcPr>
            <w:tcW w:w="122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1203</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1203</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1203</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1203</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vMerge w:val="continue"/>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32"/>
                <w:szCs w:val="32"/>
              </w:rPr>
            </w:pPr>
          </w:p>
        </w:tc>
        <w:tc>
          <w:tcPr>
            <w:tcW w:w="1365" w:type="dxa"/>
          </w:tcPr>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z w:val="28"/>
                <w:szCs w:val="28"/>
              </w:rPr>
            </w:pPr>
            <w:r>
              <w:rPr>
                <w:rFonts w:hint="eastAsia" w:ascii="仿宋" w:hAnsi="仿宋" w:eastAsia="仿宋" w:cs="仿宋"/>
                <w:sz w:val="28"/>
                <w:szCs w:val="28"/>
              </w:rPr>
              <w:t>合格率</w:t>
            </w:r>
          </w:p>
        </w:tc>
        <w:tc>
          <w:tcPr>
            <w:tcW w:w="122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90%</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92%</w:t>
            </w:r>
          </w:p>
        </w:tc>
        <w:tc>
          <w:tcPr>
            <w:tcW w:w="1306"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94%</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98%</w:t>
            </w:r>
          </w:p>
        </w:tc>
        <w:tc>
          <w:tcPr>
            <w:tcW w:w="1307"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98%</w:t>
            </w:r>
          </w:p>
        </w:tc>
      </w:tr>
    </w:tbl>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2.1.3</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专业技能合格率。</w:t>
      </w:r>
      <w:r>
        <w:rPr>
          <w:rFonts w:hint="eastAsia" w:ascii="仿宋" w:hAnsi="仿宋" w:eastAsia="仿宋" w:cs="仿宋"/>
          <w:sz w:val="32"/>
          <w:szCs w:val="32"/>
        </w:rPr>
        <w:t>2019年度，由于学校加强了组织宣传力度，提高了考前培训质量，学生参与报考执业治学资格证书的热情有了大幅度提高，全年累计共组织了500余名学生参加各级各类执业技能鉴定，其中有500名学生取得了相关或相近专业的职业技能资格证书，合格率达81.8%。</w:t>
      </w:r>
    </w:p>
    <w:p>
      <w:pPr>
        <w:keepNext w:val="0"/>
        <w:keepLines w:val="0"/>
        <w:pageBreakBefore w:val="0"/>
        <w:kinsoku/>
        <w:wordWrap/>
        <w:overflowPunct/>
        <w:topLinePunct w:val="0"/>
        <w:autoSpaceDE/>
        <w:autoSpaceDN/>
        <w:bidi w:val="0"/>
        <w:spacing w:line="59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2.1.4</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体质测评合格率。</w:t>
      </w:r>
      <w:r>
        <w:rPr>
          <w:rFonts w:hint="eastAsia" w:ascii="仿宋" w:hAnsi="仿宋" w:eastAsia="仿宋" w:cs="仿宋"/>
          <w:sz w:val="32"/>
          <w:szCs w:val="32"/>
        </w:rPr>
        <w:t>根据国家学生体质健康测试标准要求，制定学校2019学年度学生体质健康测试方案，有计划组织2018级和2019级进行健康体质测试，经过对全校学生体质健康测试，合格率达100%，优秀率达40.8%。</w:t>
      </w: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2.2</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在校体验</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解学生在校体验情况，及时改进学校各方面工作，上学期分别从各班随机选取了20名同学作为代表，共计240人，进行了调查问卷。学生对调查问卷的所有项目满意率都在85%之上。通过分析可以看出学生整体上对学校的环境条件、设施条件、安全条件、教学状况、文化活动等方面比较满意，一方面说明学校办学越来越规范，综合实力不断提升；另一方面也说明绝大部分学生对学校的认可度较高、认同感较强，为学生更加积极主动融入校园、发展自己提供了良好前景。同时，部分学生也提出了一些意见及建议。</w:t>
      </w: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rPr>
        <w:t>2.3</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资助情况</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在登封市教体局资助管理中心的领导下，</w:t>
      </w:r>
      <w:r>
        <w:rPr>
          <w:rFonts w:hint="eastAsia" w:ascii="仿宋" w:hAnsi="仿宋" w:eastAsia="仿宋" w:cs="仿宋"/>
          <w:sz w:val="32"/>
          <w:szCs w:val="32"/>
          <w:lang w:eastAsia="zh-CN"/>
        </w:rPr>
        <w:t>学</w:t>
      </w:r>
      <w:r>
        <w:rPr>
          <w:rFonts w:hint="eastAsia" w:ascii="仿宋" w:hAnsi="仿宋" w:eastAsia="仿宋" w:cs="仿宋"/>
          <w:sz w:val="32"/>
          <w:szCs w:val="32"/>
        </w:rPr>
        <w:t>校认真贯彻上级各类资助文件精神，顺利完成了各项资助工作。 2019年春季学期享受国家免学费358人（2016级37人，2017级89人，2018级232人），资助资金21.48万元；享受国家助学金60人（2017级19人，2018级41人），发放资金6万元。其中建档立卡贫困家庭学生10人，发放资金1.6万元。 2019年秋季学期申请国家免学费796人（2019级466人，2018级247人，2017级83人），申请国家助学金155人（2019级103人，2018级52人），其中建档立卡贫困家庭学生22人，目前已为学生办理并发放了建设银行的资助卡。</w:t>
      </w:r>
    </w:p>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rPr>
        <w:t>2.4</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就业质量</w:t>
      </w:r>
    </w:p>
    <w:p>
      <w:pPr>
        <w:keepNext w:val="0"/>
        <w:keepLines w:val="0"/>
        <w:pageBreakBefore w:val="0"/>
        <w:kinsoku/>
        <w:wordWrap/>
        <w:overflowPunct/>
        <w:topLinePunct w:val="0"/>
        <w:autoSpaceDE/>
        <w:autoSpaceDN/>
        <w:bidi w:val="0"/>
        <w:spacing w:line="590" w:lineRule="exact"/>
        <w:ind w:firstLine="640" w:firstLineChars="200"/>
        <w:textAlignment w:val="auto"/>
        <w:rPr>
          <w:rStyle w:val="14"/>
          <w:rFonts w:hint="eastAsia" w:ascii="仿宋" w:hAnsi="仿宋" w:eastAsia="仿宋" w:cs="仿宋"/>
          <w:sz w:val="32"/>
          <w:szCs w:val="32"/>
          <w:shd w:val="clear" w:color="auto" w:fill="FFFFFF"/>
        </w:rPr>
      </w:pPr>
      <w:r>
        <w:rPr>
          <w:rFonts w:hint="eastAsia" w:ascii="仿宋" w:hAnsi="仿宋" w:eastAsia="仿宋" w:cs="仿宋"/>
          <w:sz w:val="32"/>
          <w:szCs w:val="32"/>
        </w:rPr>
        <w:t>就业质量稳步提高，学校高度重视学生的实习就业工作，积极拓展就业渠道，先后与多家企业建立了实习就业关系，学生实习就业渠道畅通，就业率连续多年处于较高水平。学生的工资待遇等各方面有较多的提高，学生的就业质量屡创新高。</w:t>
      </w:r>
    </w:p>
    <w:p>
      <w:pPr>
        <w:pStyle w:val="15"/>
        <w:keepNext w:val="0"/>
        <w:keepLines w:val="0"/>
        <w:pageBreakBefore w:val="0"/>
        <w:kinsoku/>
        <w:wordWrap/>
        <w:overflowPunct/>
        <w:topLinePunct w:val="0"/>
        <w:autoSpaceDE/>
        <w:autoSpaceDN/>
        <w:bidi w:val="0"/>
        <w:adjustRightInd w:val="0"/>
        <w:snapToGrid w:val="0"/>
        <w:spacing w:line="590" w:lineRule="exact"/>
        <w:jc w:val="center"/>
        <w:textAlignment w:val="auto"/>
        <w:rPr>
          <w:rStyle w:val="14"/>
          <w:rFonts w:hint="eastAsia" w:ascii="仿宋" w:hAnsi="仿宋" w:eastAsia="仿宋" w:cs="仿宋"/>
          <w:sz w:val="32"/>
          <w:szCs w:val="32"/>
          <w:shd w:val="clear" w:color="auto" w:fill="FFFFFF"/>
        </w:rPr>
      </w:pPr>
      <w:r>
        <w:rPr>
          <w:rStyle w:val="14"/>
          <w:rFonts w:hint="eastAsia" w:ascii="仿宋" w:hAnsi="仿宋" w:eastAsia="仿宋" w:cs="仿宋"/>
          <w:sz w:val="32"/>
          <w:szCs w:val="32"/>
          <w:shd w:val="clear" w:color="auto" w:fill="FFFFFF"/>
          <w:lang w:eastAsia="zh-CN"/>
        </w:rPr>
        <w:t>表</w:t>
      </w:r>
      <w:r>
        <w:rPr>
          <w:rStyle w:val="14"/>
          <w:rFonts w:hint="eastAsia" w:ascii="仿宋" w:hAnsi="仿宋" w:eastAsia="仿宋" w:cs="仿宋"/>
          <w:sz w:val="32"/>
          <w:szCs w:val="32"/>
          <w:shd w:val="clear" w:color="auto" w:fill="FFFFFF"/>
          <w:lang w:val="en-US" w:eastAsia="zh-CN"/>
        </w:rPr>
        <w:t>2-2</w:t>
      </w:r>
      <w:r>
        <w:rPr>
          <w:rStyle w:val="14"/>
          <w:rFonts w:hint="eastAsia" w:ascii="仿宋" w:hAnsi="仿宋" w:eastAsia="仿宋" w:cs="仿宋"/>
          <w:sz w:val="32"/>
          <w:szCs w:val="32"/>
          <w:shd w:val="clear" w:color="auto" w:fill="FFFFFF"/>
          <w:lang w:eastAsia="zh-CN"/>
        </w:rPr>
        <w:t>：</w:t>
      </w:r>
      <w:r>
        <w:rPr>
          <w:rStyle w:val="14"/>
          <w:rFonts w:hint="eastAsia" w:ascii="仿宋" w:hAnsi="仿宋" w:eastAsia="仿宋" w:cs="仿宋"/>
          <w:sz w:val="32"/>
          <w:szCs w:val="32"/>
          <w:shd w:val="clear" w:color="auto" w:fill="FFFFFF"/>
          <w:lang w:val="en-US" w:eastAsia="zh-CN"/>
        </w:rPr>
        <w:t>2018-2019年</w:t>
      </w:r>
      <w:r>
        <w:rPr>
          <w:rStyle w:val="14"/>
          <w:rFonts w:hint="eastAsia" w:ascii="仿宋" w:hAnsi="仿宋" w:eastAsia="仿宋" w:cs="仿宋"/>
          <w:sz w:val="32"/>
          <w:szCs w:val="32"/>
          <w:shd w:val="clear" w:color="auto" w:fill="FFFFFF"/>
        </w:rPr>
        <w:t>毕业生就业情况一览表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111"/>
        <w:gridCol w:w="1112"/>
        <w:gridCol w:w="1146"/>
        <w:gridCol w:w="1146"/>
        <w:gridCol w:w="1176"/>
        <w:gridCol w:w="109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160"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年度</w:t>
            </w:r>
          </w:p>
        </w:tc>
        <w:tc>
          <w:tcPr>
            <w:tcW w:w="1160"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毕业学生人数</w:t>
            </w:r>
          </w:p>
        </w:tc>
        <w:tc>
          <w:tcPr>
            <w:tcW w:w="1161"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就业学生人数</w:t>
            </w:r>
          </w:p>
        </w:tc>
        <w:tc>
          <w:tcPr>
            <w:tcW w:w="1161"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就业率</w:t>
            </w:r>
          </w:p>
        </w:tc>
        <w:tc>
          <w:tcPr>
            <w:tcW w:w="1161"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对口就业率</w:t>
            </w:r>
          </w:p>
        </w:tc>
        <w:tc>
          <w:tcPr>
            <w:tcW w:w="1161"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初次就业月薪平均值（元）</w:t>
            </w:r>
          </w:p>
        </w:tc>
        <w:tc>
          <w:tcPr>
            <w:tcW w:w="1161"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升学人数</w:t>
            </w:r>
          </w:p>
        </w:tc>
        <w:tc>
          <w:tcPr>
            <w:tcW w:w="1161" w:type="dxa"/>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升学率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2018</w:t>
            </w:r>
          </w:p>
        </w:tc>
        <w:tc>
          <w:tcPr>
            <w:tcW w:w="1160"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181</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116</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97.5%</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80.6%</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3500</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59</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2019</w:t>
            </w:r>
          </w:p>
        </w:tc>
        <w:tc>
          <w:tcPr>
            <w:tcW w:w="1160"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721</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620</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97.3%</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85.5%</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3800</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81</w:t>
            </w:r>
          </w:p>
        </w:tc>
        <w:tc>
          <w:tcPr>
            <w:tcW w:w="1161" w:type="dxa"/>
          </w:tcPr>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96.4%</w:t>
            </w:r>
          </w:p>
        </w:tc>
      </w:tr>
    </w:tbl>
    <w:p>
      <w:pPr>
        <w:keepNext w:val="0"/>
        <w:keepLines w:val="0"/>
        <w:pageBreakBefore w:val="0"/>
        <w:kinsoku/>
        <w:wordWrap/>
        <w:overflowPunct/>
        <w:topLinePunct w:val="0"/>
        <w:autoSpaceDE/>
        <w:autoSpaceDN/>
        <w:bidi w:val="0"/>
        <w:spacing w:line="590" w:lineRule="exact"/>
        <w:ind w:firstLine="619"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rPr>
        <w:t>2.5</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职业发展</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学校校十分重视学生的素质养成和职业能力培养，除做好文化课、专业课教学外，还注重把职业指导贯穿于学校各年级教育的全过程，为学生今后就业打下坚实基础。调查分析显示，我校大部分毕业生能够树立起正确的就业观念。从用人单位对毕业生各项素质的要求总体来说是满意的，很多学生能把自己的理论知识和企业生产实践有机地结合起来，并在工作中积极创新，敢于担当，有不少毕业生被派出外国参加工作，总体上来看，大多数毕业生就业后都很稳定，都能胜任各自的工作岗位，受到企业的认可。</w:t>
      </w: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b w:val="0"/>
          <w:bCs/>
          <w:color w:val="000000"/>
          <w:kern w:val="0"/>
          <w:sz w:val="32"/>
          <w:szCs w:val="32"/>
          <w:lang w:val="en-US" w:eastAsia="zh-CN" w:bidi="ar"/>
        </w:rPr>
      </w:pPr>
      <w:r>
        <w:rPr>
          <w:rFonts w:hint="eastAsia" w:ascii="黑体" w:hAnsi="黑体" w:eastAsia="黑体" w:cs="黑体"/>
          <w:b w:val="0"/>
          <w:bCs/>
          <w:color w:val="000000"/>
          <w:kern w:val="0"/>
          <w:sz w:val="32"/>
          <w:szCs w:val="32"/>
          <w:lang w:val="en-US" w:eastAsia="zh-CN" w:bidi="ar"/>
        </w:rPr>
        <w:t>第三部分  质量保障措施</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b/>
          <w:bCs/>
          <w:spacing w:val="-6"/>
          <w:sz w:val="32"/>
          <w:szCs w:val="32"/>
        </w:rPr>
      </w:pPr>
      <w:r>
        <w:rPr>
          <w:rFonts w:hint="eastAsia" w:ascii="楷体" w:hAnsi="楷体" w:eastAsia="楷体" w:cs="楷体"/>
          <w:b/>
          <w:bCs/>
          <w:spacing w:val="-6"/>
          <w:sz w:val="32"/>
          <w:szCs w:val="32"/>
        </w:rPr>
        <w:t>3.1</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专业动态调整</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3.1.1</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立足社会需求，优化专业设置。</w:t>
      </w:r>
      <w:r>
        <w:rPr>
          <w:rFonts w:hint="eastAsia" w:ascii="仿宋" w:hAnsi="仿宋" w:eastAsia="仿宋" w:cs="仿宋"/>
          <w:spacing w:val="-6"/>
          <w:sz w:val="32"/>
          <w:szCs w:val="32"/>
        </w:rPr>
        <w:t>各专业成立校级专业建设指导委员会，每年都利用学校优势，外派学生演出和参观学习， 在对社会人才需求调研和开展校企合作育人的基础上，学校不断优化专业设置，使我的专业更加细化，符合国家</w:t>
      </w:r>
      <w:r>
        <w:rPr>
          <w:rFonts w:hint="eastAsia" w:ascii="仿宋" w:hAnsi="仿宋" w:eastAsia="仿宋" w:cs="仿宋"/>
          <w:spacing w:val="-6"/>
          <w:sz w:val="32"/>
          <w:szCs w:val="32"/>
          <w:lang w:eastAsia="zh-CN"/>
        </w:rPr>
        <w:t>标准</w:t>
      </w:r>
      <w:r>
        <w:rPr>
          <w:rFonts w:hint="eastAsia" w:ascii="仿宋" w:hAnsi="仿宋" w:eastAsia="仿宋" w:cs="仿宋"/>
          <w:spacing w:val="-6"/>
          <w:sz w:val="32"/>
          <w:szCs w:val="32"/>
        </w:rPr>
        <w:t>要求。从近两年的招生人数来看，基本符合社会对专业人才的需求。</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3.1.2</w:t>
      </w:r>
      <w:r>
        <w:rPr>
          <w:rFonts w:hint="eastAsia" w:ascii="仿宋" w:hAnsi="仿宋" w:eastAsia="仿宋" w:cs="仿宋"/>
          <w:b/>
          <w:bCs/>
          <w:spacing w:val="-6"/>
          <w:sz w:val="32"/>
          <w:szCs w:val="32"/>
          <w:lang w:val="en-US" w:eastAsia="zh-CN"/>
        </w:rPr>
        <w:t xml:space="preserve">  落实专业</w:t>
      </w:r>
      <w:r>
        <w:rPr>
          <w:rFonts w:hint="eastAsia" w:ascii="仿宋" w:hAnsi="仿宋" w:eastAsia="仿宋" w:cs="仿宋"/>
          <w:b/>
          <w:bCs/>
          <w:spacing w:val="-6"/>
          <w:sz w:val="32"/>
          <w:szCs w:val="32"/>
        </w:rPr>
        <w:t>人才培养方案。</w:t>
      </w:r>
      <w:r>
        <w:rPr>
          <w:rFonts w:hint="eastAsia" w:ascii="仿宋" w:hAnsi="仿宋" w:eastAsia="仿宋" w:cs="仿宋"/>
          <w:spacing w:val="-6"/>
          <w:sz w:val="32"/>
          <w:szCs w:val="32"/>
        </w:rPr>
        <w:t>2019年秋季学期</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学校按照上级部署，建立并完善运动训练专业人才需求与专业设置动态调整机制，成立了由学校骨干教师组成的专业建设委员会，进行了广泛的调研，并根据调研结果和学校专业建设规划开展了人才培养方案修订工作。文化课理论课程增设历史、体育与健康、传统文化课程，专业课程增设运动训练学、运动人体科学概论课程。完善以职业能力培养为目标的完整课程体系、考核评价体系和教学资源库建设。</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b/>
          <w:bCs/>
          <w:spacing w:val="-6"/>
          <w:sz w:val="32"/>
          <w:szCs w:val="32"/>
        </w:rPr>
      </w:pPr>
      <w:r>
        <w:rPr>
          <w:rFonts w:hint="eastAsia" w:ascii="楷体" w:hAnsi="楷体" w:eastAsia="楷体" w:cs="楷体"/>
          <w:b/>
          <w:bCs/>
          <w:spacing w:val="-6"/>
          <w:sz w:val="32"/>
          <w:szCs w:val="32"/>
        </w:rPr>
        <w:t>3.2</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教育教学改革</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3.2.1</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优化课程设置。</w:t>
      </w:r>
      <w:r>
        <w:rPr>
          <w:rFonts w:hint="eastAsia" w:ascii="仿宋" w:hAnsi="仿宋" w:eastAsia="仿宋" w:cs="仿宋"/>
          <w:spacing w:val="-6"/>
          <w:sz w:val="32"/>
          <w:szCs w:val="32"/>
        </w:rPr>
        <w:t>学校在《关于推进“三合作”教学改革的意见》中指出，在专业人才培养方面，首先要确保开足开齐国家要求的必修课，公共基础教学内容占30%的比重，专业理论与实训教学内容占50%的比重，对口生产实习教学内容占20%的比重。在人才培养上，不丢弃基本的人文素养和职业素养教育，同时又一实践教学为中心和突破口，通过“一体化”的教学设计，以实践教学促理论教学，将德育要要求和企业文化纳入操作规范。专业课均把德育、语文、数学、英语、计算机应用基础等课程作为公共基础课程的必修课。</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3.2.2</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提升师资队伍水平。</w:t>
      </w:r>
      <w:r>
        <w:rPr>
          <w:rFonts w:hint="eastAsia" w:ascii="仿宋" w:hAnsi="仿宋" w:eastAsia="仿宋" w:cs="仿宋"/>
          <w:spacing w:val="-6"/>
          <w:sz w:val="32"/>
          <w:szCs w:val="32"/>
        </w:rPr>
        <w:t>发挥专业组的教学管理机制，以各专业组为主体，积极开展教育教学研究活动，组织集体备课、听评课、观摩课、公开课等形式，提高教师的业务水平。各专业组推选专业和科目的优质课参加学校各类评选。学校每学期组织一次优质课评选，推荐参加上级优质课评选。</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3.2.3</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做好课程建设</w:t>
      </w:r>
      <w:r>
        <w:rPr>
          <w:rFonts w:hint="eastAsia" w:ascii="仿宋" w:hAnsi="仿宋" w:eastAsia="仿宋" w:cs="仿宋"/>
          <w:b/>
          <w:bCs/>
          <w:spacing w:val="-6"/>
          <w:sz w:val="32"/>
          <w:szCs w:val="32"/>
          <w:lang w:eastAsia="zh-CN"/>
        </w:rPr>
        <w:t>研发。</w:t>
      </w:r>
      <w:r>
        <w:rPr>
          <w:rFonts w:hint="eastAsia" w:ascii="仿宋" w:hAnsi="仿宋" w:eastAsia="仿宋" w:cs="仿宋"/>
          <w:spacing w:val="-6"/>
          <w:sz w:val="32"/>
          <w:szCs w:val="32"/>
        </w:rPr>
        <w:t>各课程研究团队定期进行专业调研，及时了解企业人才需求情况，使学校课程设置和教学内容能够紧跟产业发展前沿，紧扣职业能力的培养，一是对文化课的教学内容进行整合，依据专业所需，本着“够用、会用”的原则，确定教学内容，二是立足人才培养目标，删减专业课教材中“偏、难、旧”的内容，补充岗位新技术新工艺；三是及时对课程标准、考证要求和类型进行调整，确保了新内容的贯彻执行；四是发挥教师团队作用，进行精品课程开发建设。</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3.2.4.</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改革人才培养模式</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以骨干教师培养和实训条件改善为基础，以精品课程建设重点，以深化校企合作作为途径，以提高教学质量为目标，在学校“校企合作、以岗定学、学训合一、顶岗实习”复合型人才培养模式的总体要求下，建立并完善了校企共同培养学生的机制。</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3.2.5</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开展信息化教学。</w:t>
      </w:r>
      <w:r>
        <w:rPr>
          <w:rFonts w:hint="eastAsia" w:ascii="仿宋" w:hAnsi="仿宋" w:eastAsia="仿宋" w:cs="仿宋"/>
          <w:spacing w:val="-6"/>
          <w:sz w:val="32"/>
          <w:szCs w:val="32"/>
        </w:rPr>
        <w:t>采取走出去请进来的办法，加强教师信息化教学培训，提高教师的信息素养，促进现代信息技术与教育教学相融合，以信息技术带动职业教育现代化，推进学校信息化建设和信息化教学。</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3.2.6</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升级改造实训基地</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2019年度，学校投入专项资金150万元，对原由的实训基地进行升级改造，购买、更新了部分实训设备。</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3.2.7</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教学资源建设。</w:t>
      </w:r>
      <w:r>
        <w:rPr>
          <w:rFonts w:hint="eastAsia" w:ascii="仿宋" w:hAnsi="仿宋" w:eastAsia="仿宋" w:cs="仿宋"/>
          <w:spacing w:val="-6"/>
          <w:sz w:val="32"/>
          <w:szCs w:val="32"/>
        </w:rPr>
        <w:t xml:space="preserve">学校重视教学资源建设，目前，资源库内收录了大量教学经典案例、教学视频、教学课件和课程试题库，为师生提供了丰富的教育教 学和学习资源。 </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3.2.8</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合理选用教材</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根据</w:t>
      </w:r>
      <w:r>
        <w:rPr>
          <w:rFonts w:hint="eastAsia" w:ascii="仿宋" w:hAnsi="仿宋" w:eastAsia="仿宋" w:cs="仿宋"/>
          <w:spacing w:val="-6"/>
          <w:sz w:val="32"/>
          <w:szCs w:val="32"/>
          <w:lang w:eastAsia="zh-CN"/>
        </w:rPr>
        <w:t>学</w:t>
      </w:r>
      <w:r>
        <w:rPr>
          <w:rFonts w:hint="eastAsia" w:ascii="仿宋" w:hAnsi="仿宋" w:eastAsia="仿宋" w:cs="仿宋"/>
          <w:spacing w:val="-6"/>
          <w:sz w:val="32"/>
          <w:szCs w:val="32"/>
        </w:rPr>
        <w:t>校制定的《运动训练</w:t>
      </w:r>
      <w:r>
        <w:rPr>
          <w:rFonts w:hint="eastAsia" w:ascii="仿宋" w:hAnsi="仿宋" w:eastAsia="仿宋" w:cs="仿宋"/>
          <w:spacing w:val="-6"/>
          <w:sz w:val="32"/>
          <w:szCs w:val="32"/>
          <w:lang w:eastAsia="zh-CN"/>
        </w:rPr>
        <w:t>专业</w:t>
      </w:r>
      <w:r>
        <w:rPr>
          <w:rFonts w:hint="eastAsia" w:ascii="仿宋" w:hAnsi="仿宋" w:eastAsia="仿宋" w:cs="仿宋"/>
          <w:spacing w:val="-6"/>
          <w:sz w:val="32"/>
          <w:szCs w:val="32"/>
        </w:rPr>
        <w:t>人才培养方案》和教学实际，以省教育厅每年公布的《教学用书目录》为依据选用教材。德育课统一使用教育部组织编写审定的国家规划教材；文化基础课统一使用省编教材。同时，在学校课程体系改革实践中，还开发了部分校本教材，只是作为补充性教学内容使用。</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3.3</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教师培养培训</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3.3.1</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把加强师德建设放在教师队伍建设的首位。</w:t>
      </w:r>
      <w:r>
        <w:rPr>
          <w:rFonts w:hint="eastAsia" w:ascii="仿宋" w:hAnsi="仿宋" w:eastAsia="仿宋" w:cs="仿宋"/>
          <w:spacing w:val="-6"/>
          <w:sz w:val="32"/>
          <w:szCs w:val="32"/>
        </w:rPr>
        <w:t>通过学习和思想教育，提高教师的思想政治素质，树立爱岗敬业精神，树立现代教育观、质量观和人才观，增强教师实施素质教育的自觉性和参与教育教学改革的积极性。 </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3.3.2</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进一步加强师资队伍建设。</w:t>
      </w:r>
      <w:r>
        <w:rPr>
          <w:rFonts w:hint="eastAsia" w:ascii="仿宋" w:hAnsi="仿宋" w:eastAsia="仿宋" w:cs="仿宋"/>
          <w:spacing w:val="-6"/>
          <w:sz w:val="32"/>
          <w:szCs w:val="32"/>
        </w:rPr>
        <w:t>落实省教育厅关于中职专业课教师素质提高计划，创新教师培训模式，建立健全师资培训质量监控保障机制。组织开展国家级、省级专业教师培训，加强教学研究，努力提高教师职业技能水平、专业教学能力。完善专业教师定期参加生产实践、企业顶岗培训和校本培训制度，重点培训教师参与课程开发、校企合作的能力。 </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3.3.3</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继续加强青年教师的培养。</w:t>
      </w:r>
      <w:r>
        <w:rPr>
          <w:rFonts w:hint="eastAsia" w:ascii="仿宋" w:hAnsi="仿宋" w:eastAsia="仿宋" w:cs="仿宋"/>
          <w:spacing w:val="-6"/>
          <w:sz w:val="32"/>
          <w:szCs w:val="32"/>
        </w:rPr>
        <w:t>遵循青年教师的成长规律，发挥其特长，在思想、生活上关心，学习、工作上支持；重视青年教师的师德建设；继续发扬以老带新，师徒结对的好传统，进行传、帮、带，完善青年教师“导师”制度；以多种形式提供继续教育的机会，组织学习先进的教育教学方法和经验；搭建教育教学舞台，提供充分展示才能的场所与机会，促进他们尽快成长。</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楷体" w:hAnsi="楷体" w:eastAsia="楷体" w:cs="楷体"/>
          <w:b/>
          <w:bCs/>
          <w:spacing w:val="-6"/>
          <w:sz w:val="32"/>
          <w:szCs w:val="32"/>
        </w:rPr>
        <w:t>3.4</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规范管理情况</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3.4.1</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加强教学管理。</w:t>
      </w:r>
      <w:r>
        <w:rPr>
          <w:rFonts w:hint="eastAsia" w:ascii="仿宋" w:hAnsi="仿宋" w:eastAsia="仿宋" w:cs="仿宋"/>
          <w:spacing w:val="-6"/>
          <w:sz w:val="32"/>
          <w:szCs w:val="32"/>
        </w:rPr>
        <w:t>在原有教学管理制度的基础上，本年度内，学校制定出台了《教师队伍管理制度》，在全校范围内组织了“打造高效课堂”活动，着力纠正课程教学效率不高问题。</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3.4.2</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规范学生管理。</w:t>
      </w:r>
      <w:r>
        <w:rPr>
          <w:rFonts w:hint="eastAsia" w:ascii="仿宋" w:hAnsi="仿宋" w:eastAsia="仿宋" w:cs="仿宋"/>
          <w:spacing w:val="-6"/>
          <w:sz w:val="32"/>
          <w:szCs w:val="32"/>
        </w:rPr>
        <w:t>学校不断强化管理责任意识，形成校党支部、政教处、班主任、学生会多层次立体学生管理。制定以学生管理制度为主要内容的学生手册，人手一册，加强制度学习，以制度规范管理，加强常规检查，强化规范养成教育，加强德育活动的组织开展，以活动规范习惯，加强管理队伍培训，提升规范管理能力。</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3.4.3</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严格财务管理。</w:t>
      </w:r>
      <w:r>
        <w:rPr>
          <w:rFonts w:hint="eastAsia" w:ascii="仿宋" w:hAnsi="仿宋" w:eastAsia="仿宋" w:cs="仿宋"/>
          <w:spacing w:val="-6"/>
          <w:sz w:val="32"/>
          <w:szCs w:val="32"/>
        </w:rPr>
        <w:t>严格执行国家相关的财经法律法规及中央八项规定要求，结合学校实际，健全学校财务管理制度，严把财务审核，杜绝不合规的票据入账，采用管理软件加强对国有资产的管理，按时在网站公开学校预、决算，规范使用各项资金，有效防止和杜绝虚报、违规使用资金等现象的发生，保障了学校可持续发展。 </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3.4.4</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提高后勤管理水平。</w:t>
      </w:r>
      <w:r>
        <w:rPr>
          <w:rFonts w:hint="eastAsia" w:ascii="仿宋" w:hAnsi="仿宋" w:eastAsia="仿宋" w:cs="仿宋"/>
          <w:spacing w:val="-6"/>
          <w:sz w:val="32"/>
          <w:szCs w:val="32"/>
        </w:rPr>
        <w:t>不断加强后勤保障能力建设，提高后勤管理水平，及时做好财产清查登记，建立固定资产账、低值易耗品账和材料账，不断完善岗位职责，规范个人行为。规范物品申购程序和物品发放制度，按照“勤俭节约、即用即领”的原则，发放办公用品及学生卫生工具，做到物尽其用。</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3.4.5</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强化安全管理</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构建完善了安全工作体系，严格落实安全工作责任制，成立以校长为核心的学校安全工作领导小组，并与各级领导干部按照“一岗双责”要求层层签订安全工作责任书，加强安全教育，利用升旗仪式、主题班会等形式进行教育，并将安全教育融入教学课程，加强督查，定期开张安全专项检车和整治活动，做好门卫值班、校园治安巡逻等内部安全管理制度的落实，严格执行24小时值班巡逻制度，确保管理上不留死角、不留空挡。加强学校消防安全管理，制定和实施消防工作预案，落实火灾隐患的检查、整治措施。严格执行突发公共安全事件报告制度，增强对突发事故的防范和应急处理能力。</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3.4.6</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重视</w:t>
      </w:r>
      <w:r>
        <w:rPr>
          <w:rFonts w:hint="eastAsia" w:ascii="仿宋" w:hAnsi="仿宋" w:eastAsia="仿宋" w:cs="仿宋"/>
          <w:b/>
          <w:bCs/>
          <w:spacing w:val="-6"/>
          <w:sz w:val="32"/>
          <w:szCs w:val="32"/>
          <w:lang w:eastAsia="zh-CN"/>
        </w:rPr>
        <w:t>教育</w:t>
      </w:r>
      <w:r>
        <w:rPr>
          <w:rFonts w:hint="eastAsia" w:ascii="仿宋" w:hAnsi="仿宋" w:eastAsia="仿宋" w:cs="仿宋"/>
          <w:b/>
          <w:bCs/>
          <w:spacing w:val="-6"/>
          <w:sz w:val="32"/>
          <w:szCs w:val="32"/>
        </w:rPr>
        <w:t>科研管理</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根据学科与专业性质成立教研组，按照学校工作部署，组织开展教育科研的日常工作。充分把握经济市场规律，不断调整与充实专业建设，积极推进课程改革，努力探索符合实际，有利于教师和学生共同成长的发展途径与办法。从教与学的层面充分展开课题研讨。把如何让学生学会与掌握，如何提高学生的专业技能与水平，作为研究的重点，努力构建适合职校特点和学生实际的课程教学方法。</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3.4.7</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加强管理队伍建设。</w:t>
      </w:r>
      <w:r>
        <w:rPr>
          <w:rFonts w:hint="eastAsia" w:ascii="仿宋" w:hAnsi="仿宋" w:eastAsia="仿宋" w:cs="仿宋"/>
          <w:spacing w:val="-6"/>
          <w:sz w:val="32"/>
          <w:szCs w:val="32"/>
        </w:rPr>
        <w:t>学校建立教职工质量管理制度、业绩考核与评价体系，各项工作监控措施得力，调动了教职员工的积极性、创造性，增强了纪律意识、质量意识。</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3.5</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德育工作情况</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3.5.1</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注重德育课教学。</w:t>
      </w:r>
      <w:r>
        <w:rPr>
          <w:rFonts w:hint="eastAsia" w:ascii="仿宋" w:hAnsi="仿宋" w:eastAsia="仿宋" w:cs="仿宋"/>
          <w:spacing w:val="-6"/>
          <w:sz w:val="32"/>
          <w:szCs w:val="32"/>
        </w:rPr>
        <w:t>德育课是中等职业学校各专业在校生的必修课程，我校各专业全面开设了四门德育课程。《职业生涯规划》、《职业道德与法律》、《经济政治与社会》、《哲学与人生》，每周2 课时，采取了以闭卷考试为主的课程考核方式，同时学校德育教育贯穿各项活动中，深入开展了“传统文化”特色德育工作，在进行爱国教育同时，围绕学生思想品德、行为习惯开展德育教育活动，以志愿者为引领，让学生走出校门，走向社会，在活动弘扬志愿精神，践行社会主义核心价值观。</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3.5.2</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重视校园文化建设</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建立起</w:t>
      </w:r>
      <w:r>
        <w:rPr>
          <w:rFonts w:hint="eastAsia" w:ascii="仿宋" w:hAnsi="仿宋" w:eastAsia="仿宋" w:cs="仿宋"/>
          <w:spacing w:val="-6"/>
          <w:sz w:val="32"/>
          <w:szCs w:val="32"/>
          <w:lang w:eastAsia="zh-CN"/>
        </w:rPr>
        <w:t>了</w:t>
      </w:r>
      <w:r>
        <w:rPr>
          <w:rFonts w:hint="eastAsia" w:ascii="仿宋" w:hAnsi="仿宋" w:eastAsia="仿宋" w:cs="仿宋"/>
          <w:spacing w:val="-6"/>
          <w:sz w:val="32"/>
          <w:szCs w:val="32"/>
        </w:rPr>
        <w:t>具有本校特色的校风、校训、校歌等，通过文化引领，活动贯穿，打造出特色德育品牌。把企业文化、引入校园，结合职业学校特色完善走廊文化，开展了打造书香校园“经典诵读竞赛”等活动，丰富了学生第二课堂，展示了学校和谐、文明、务实、创新的校园新风貌。</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3.5.3</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扎实开展社团活动</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学校成立了广播、传统知识，每学期评选优秀广播员，在学校公众号设置专栏公布近期学校活动，使学生获得许多在课堂中学不到的知识和技能，激发了学生学习兴趣，发展个性特长，促进了学生身心健康发展。</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3.5.4</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加强团组织建设</w:t>
      </w:r>
      <w:r>
        <w:rPr>
          <w:rFonts w:hint="eastAsia" w:ascii="仿宋" w:hAnsi="仿宋" w:eastAsia="仿宋" w:cs="仿宋"/>
          <w:b/>
          <w:bCs/>
          <w:spacing w:val="-6"/>
          <w:sz w:val="32"/>
          <w:szCs w:val="32"/>
          <w:lang w:eastAsia="zh-CN"/>
        </w:rPr>
        <w:t>。</w:t>
      </w:r>
      <w:r>
        <w:rPr>
          <w:rFonts w:hint="eastAsia" w:ascii="仿宋" w:hAnsi="仿宋" w:eastAsia="仿宋" w:cs="仿宋"/>
          <w:spacing w:val="-6"/>
          <w:sz w:val="32"/>
          <w:szCs w:val="32"/>
        </w:rPr>
        <w:t>学校团委本着服从学校管理，利于德育工作，利于学生成长的原则，积极探索学校团建工作特点，走出了一条适合学校团建设工作的新路子，不断加强团组织规范化建设，严把新团员入口关，定期召开团委成员会议，积极开展一系列丰富多彩的主题教育，定期召开团委成员会议，积极开展一系列丰富多彩的主题教育活动，如“清明节扫墓”、“义务劳动”“感恩演讲比赛”等。</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3.5.5</w:t>
      </w:r>
      <w:r>
        <w:rPr>
          <w:rFonts w:hint="eastAsia" w:ascii="仿宋" w:hAnsi="仿宋" w:eastAsia="仿宋" w:cs="仿宋"/>
          <w:b/>
          <w:bCs/>
          <w:spacing w:val="-6"/>
          <w:sz w:val="32"/>
          <w:szCs w:val="32"/>
          <w:lang w:val="en-US" w:eastAsia="zh-CN"/>
        </w:rPr>
        <w:t xml:space="preserve"> </w:t>
      </w:r>
      <w:r>
        <w:rPr>
          <w:rFonts w:hint="eastAsia" w:ascii="仿宋" w:hAnsi="仿宋" w:eastAsia="仿宋" w:cs="仿宋"/>
          <w:b/>
          <w:bCs/>
          <w:spacing w:val="-6"/>
          <w:sz w:val="32"/>
          <w:szCs w:val="32"/>
        </w:rPr>
        <w:t>发挥学生会作用</w:t>
      </w:r>
      <w:r>
        <w:rPr>
          <w:rFonts w:hint="eastAsia" w:ascii="仿宋" w:hAnsi="仿宋" w:eastAsia="仿宋" w:cs="仿宋"/>
          <w:b/>
          <w:bCs/>
          <w:spacing w:val="-6"/>
          <w:sz w:val="32"/>
          <w:szCs w:val="32"/>
          <w:lang w:eastAsia="zh-CN"/>
        </w:rPr>
        <w:t>。</w:t>
      </w:r>
      <w:r>
        <w:rPr>
          <w:rFonts w:hint="eastAsia" w:ascii="仿宋" w:hAnsi="仿宋" w:eastAsia="仿宋" w:cs="仿宋"/>
          <w:b w:val="0"/>
          <w:bCs w:val="0"/>
          <w:spacing w:val="-6"/>
          <w:sz w:val="32"/>
          <w:szCs w:val="32"/>
          <w:lang w:eastAsia="zh-CN"/>
        </w:rPr>
        <w:t>学生会</w:t>
      </w:r>
      <w:r>
        <w:rPr>
          <w:rFonts w:hint="eastAsia" w:ascii="仿宋" w:hAnsi="仿宋" w:eastAsia="仿宋" w:cs="仿宋"/>
          <w:spacing w:val="-6"/>
          <w:sz w:val="32"/>
          <w:szCs w:val="32"/>
        </w:rPr>
        <w:t>负责全校学生的督查检查工作，学生会成员在完成日常检查时，积极参与组织学校各项活动，为学校活动的正常开展做出贡献。</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3.6</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党建情况</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2019年是全面开展“不忘初心 牢记使命”主题教育活动的一年。</w:t>
      </w:r>
      <w:r>
        <w:rPr>
          <w:rFonts w:hint="eastAsia" w:ascii="仿宋" w:hAnsi="仿宋" w:eastAsia="仿宋" w:cs="仿宋"/>
          <w:spacing w:val="-6"/>
          <w:sz w:val="32"/>
          <w:szCs w:val="32"/>
          <w:lang w:eastAsia="zh-CN"/>
        </w:rPr>
        <w:t>学</w:t>
      </w:r>
      <w:r>
        <w:rPr>
          <w:rFonts w:hint="eastAsia" w:ascii="仿宋" w:hAnsi="仿宋" w:eastAsia="仿宋" w:cs="仿宋"/>
          <w:spacing w:val="-6"/>
          <w:sz w:val="32"/>
          <w:szCs w:val="32"/>
        </w:rPr>
        <w:t>校党支部把工作落脚点放在“凝聚党员智慧，激发党员活力，建设和谐校园”上，积极开展党员活动日、三亮一争、两学一做和“不忘初心，牢记使命”主题教育活动。力求结合支部自身的工作实际和特点，以激活党员主体意识，夯实支部日常管理为目标，发挥战斗堡垒作用，激励全体教职工在各自的岗位上，不忘初心、守土尽责，砥砺前行。</w:t>
      </w: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b w:val="0"/>
          <w:bCs/>
          <w:color w:val="000000"/>
          <w:kern w:val="0"/>
          <w:sz w:val="32"/>
          <w:szCs w:val="32"/>
          <w:lang w:val="en-US" w:eastAsia="zh-CN" w:bidi="ar"/>
        </w:rPr>
      </w:pPr>
      <w:r>
        <w:rPr>
          <w:rFonts w:hint="eastAsia" w:ascii="黑体" w:hAnsi="黑体" w:eastAsia="黑体" w:cs="黑体"/>
          <w:b w:val="0"/>
          <w:bCs/>
          <w:color w:val="000000"/>
          <w:kern w:val="0"/>
          <w:sz w:val="32"/>
          <w:szCs w:val="32"/>
          <w:lang w:val="en-US" w:eastAsia="zh-CN" w:bidi="ar"/>
        </w:rPr>
        <w:t>第四部分  校企合作</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4.1</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校企合作开展情况和效果</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校企合作是职业学校的生存与发展之本，也是培养高素质技能人才的必由之路</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近年来，学校认真贯彻执行上级有关文件精神，始终坚持以就业市场为导向，改革创新，不断深化校企合作，先后与中盟英网（北京）科技有限公司旗下——育林教育咨询有限公司、东营圣龙武术培训中心、深圳ff健身俱乐部等多家企业合作建立了实习就业基地，学生的技能水平有了大幅度的提高，学生的就业率达92%以上。</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spacing w:val="-6"/>
          <w:sz w:val="32"/>
          <w:szCs w:val="32"/>
          <w:lang w:val="en-US" w:eastAsia="zh-CN"/>
        </w:rPr>
      </w:pPr>
      <w:r>
        <w:rPr>
          <w:rFonts w:hint="eastAsia" w:ascii="楷体" w:hAnsi="楷体" w:eastAsia="楷体" w:cs="楷体"/>
          <w:b/>
          <w:bCs/>
          <w:spacing w:val="-6"/>
          <w:sz w:val="32"/>
          <w:szCs w:val="32"/>
        </w:rPr>
        <w:t>4.2</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学生实习</w:t>
      </w:r>
      <w:r>
        <w:rPr>
          <w:rFonts w:hint="eastAsia" w:ascii="楷体" w:hAnsi="楷体" w:eastAsia="楷体" w:cs="楷体"/>
          <w:b/>
          <w:bCs/>
          <w:spacing w:val="-6"/>
          <w:sz w:val="32"/>
          <w:szCs w:val="32"/>
          <w:lang w:eastAsia="zh-CN"/>
        </w:rPr>
        <w:t>情况</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z w:val="32"/>
          <w:szCs w:val="32"/>
        </w:rPr>
      </w:pPr>
      <w:r>
        <w:rPr>
          <w:rFonts w:hint="eastAsia" w:ascii="仿宋" w:hAnsi="仿宋" w:eastAsia="仿宋" w:cs="仿宋"/>
          <w:spacing w:val="-6"/>
          <w:sz w:val="32"/>
          <w:szCs w:val="32"/>
        </w:rPr>
        <w:t>做好全体实习学生岗前培训工作，组织召开顶岗实习动员会，上好全体实习学生的实习指导课，签订实习就业协议及做好实习带队教师的选派工作等各项工作。从各实习单位带队教师反馈情况看，实习单位学生比较稳定，并将学习的知识运动到工作中，提高了自己的专业水平。</w:t>
      </w:r>
    </w:p>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黑体" w:hAnsi="黑体" w:eastAsia="黑体" w:cs="黑体"/>
          <w:b w:val="0"/>
          <w:bCs/>
          <w:color w:val="000000"/>
          <w:kern w:val="0"/>
          <w:sz w:val="32"/>
          <w:szCs w:val="32"/>
          <w:lang w:val="en-US" w:eastAsia="zh-CN" w:bidi="ar"/>
        </w:rPr>
        <w:t>第五部分  社会贡献</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rPr>
        <w:t>5.1</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技术技能人才培养</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学校毕业生以优秀的职业素质，过硬的专业技能，深受用人单位欢迎</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通过学校对就业学生的跟踪调查，用人单位对毕业生的满意度逐年提高。近年来，学校的教育教学质量稳步提高，学生的专业技能和整体素质有了较大提升。毕业生能较快的适应工作岗位要求，把所学的专业技能与工作实际较好统合在一起，企业满意度高。</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b/>
          <w:bCs/>
          <w:spacing w:val="-6"/>
          <w:sz w:val="32"/>
          <w:szCs w:val="32"/>
        </w:rPr>
      </w:pPr>
      <w:r>
        <w:rPr>
          <w:rFonts w:hint="eastAsia" w:ascii="楷体" w:hAnsi="楷体" w:eastAsia="楷体" w:cs="楷体"/>
          <w:b/>
          <w:bCs/>
          <w:spacing w:val="-6"/>
          <w:sz w:val="32"/>
          <w:szCs w:val="32"/>
        </w:rPr>
        <w:t>5.2</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社会服务</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学校立足区域经济社会发展实际，开展了系列培训服务工作。</w:t>
      </w:r>
      <w:r>
        <w:rPr>
          <w:rFonts w:hint="eastAsia" w:ascii="仿宋" w:hAnsi="仿宋" w:eastAsia="仿宋" w:cs="仿宋"/>
          <w:spacing w:val="-6"/>
          <w:sz w:val="32"/>
          <w:szCs w:val="32"/>
          <w:lang w:eastAsia="zh-CN"/>
        </w:rPr>
        <w:t>一是</w:t>
      </w:r>
      <w:r>
        <w:rPr>
          <w:rFonts w:hint="eastAsia" w:ascii="仿宋" w:hAnsi="仿宋" w:eastAsia="仿宋" w:cs="仿宋"/>
          <w:spacing w:val="-6"/>
          <w:sz w:val="32"/>
          <w:szCs w:val="32"/>
        </w:rPr>
        <w:t>健全和完善了各项培训制度及激励措施</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二是统一思想认识，为培训做了智力支撑。三是制定方案完善预案，严格学员管理，规范培训流程，创新培训思路，积极拓展培训新领域、新渠道，做好技术支持</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“五一”“十一”黄金周期间，我校派出260余名学员协助中岳庙景区管理人员维护周边治安与环境卫生管理，对登封部分事业单位领导和员工进行少林养生技能培训，得到了广大市民和上级政府的一致好评。</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b/>
          <w:bCs/>
          <w:spacing w:val="-6"/>
          <w:sz w:val="32"/>
          <w:szCs w:val="32"/>
        </w:rPr>
      </w:pPr>
      <w:r>
        <w:rPr>
          <w:rFonts w:hint="eastAsia" w:ascii="楷体" w:hAnsi="楷体" w:eastAsia="楷体" w:cs="楷体"/>
          <w:b/>
          <w:bCs/>
          <w:spacing w:val="-6"/>
          <w:sz w:val="32"/>
          <w:szCs w:val="32"/>
        </w:rPr>
        <w:t>5.3</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对口支援</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5.3.1  开展西北部对口帮扶。</w:t>
      </w:r>
      <w:r>
        <w:rPr>
          <w:rFonts w:hint="eastAsia" w:ascii="仿宋" w:hAnsi="仿宋" w:eastAsia="仿宋" w:cs="仿宋"/>
          <w:spacing w:val="-6"/>
          <w:sz w:val="32"/>
          <w:szCs w:val="32"/>
        </w:rPr>
        <w:t>为认真贯彻中央，省市县文件精神，进一步落实国家提出的“精准扶贫、精准脱贫”的基本方略，学校按照指示精神，根据区域发展实际，8月8日与郑州慈善总会联合对口支援新疆哈密地区68名青少年来我校参加“磨心励志”夏令营活动两周，学费及生活费全免。</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b/>
          <w:bCs/>
          <w:spacing w:val="-6"/>
          <w:sz w:val="32"/>
          <w:szCs w:val="32"/>
        </w:rPr>
        <w:t xml:space="preserve">5.3.2  </w:t>
      </w:r>
      <w:r>
        <w:rPr>
          <w:rFonts w:hint="eastAsia" w:ascii="仿宋" w:hAnsi="仿宋" w:eastAsia="仿宋" w:cs="仿宋"/>
          <w:b/>
          <w:bCs/>
          <w:spacing w:val="-6"/>
          <w:sz w:val="32"/>
          <w:szCs w:val="32"/>
          <w:lang w:eastAsia="zh-CN"/>
        </w:rPr>
        <w:t>开展两岸交流。</w:t>
      </w:r>
      <w:r>
        <w:rPr>
          <w:rFonts w:hint="eastAsia" w:ascii="仿宋" w:hAnsi="仿宋" w:eastAsia="仿宋" w:cs="仿宋"/>
          <w:spacing w:val="-6"/>
          <w:sz w:val="32"/>
          <w:szCs w:val="32"/>
        </w:rPr>
        <w:t>8月10日与台湾海峡两岸关系协会联合邀请台南地区46名青少年来我校进行为期12天的中国传统文化与少林功夫交流学习，离开时孩子们恋恋不舍，纷纷表示要把所学和感受到的热情带回台湾，同台湾的同学朋友一起分享，此项活动的开展有力的促进了两岸人民友好关系的发展。</w:t>
      </w: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b w:val="0"/>
          <w:bCs/>
          <w:color w:val="000000"/>
          <w:kern w:val="0"/>
          <w:sz w:val="32"/>
          <w:szCs w:val="32"/>
          <w:lang w:val="en-US" w:eastAsia="zh-CN" w:bidi="ar"/>
        </w:rPr>
      </w:pP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b w:val="0"/>
          <w:bCs/>
          <w:color w:val="000000"/>
          <w:kern w:val="0"/>
          <w:sz w:val="32"/>
          <w:szCs w:val="32"/>
          <w:lang w:val="en-US" w:eastAsia="zh-CN" w:bidi="ar"/>
        </w:rPr>
      </w:pPr>
      <w:r>
        <w:rPr>
          <w:rFonts w:hint="eastAsia" w:ascii="黑体" w:hAnsi="黑体" w:eastAsia="黑体" w:cs="黑体"/>
          <w:b w:val="0"/>
          <w:bCs/>
          <w:color w:val="000000"/>
          <w:kern w:val="0"/>
          <w:sz w:val="32"/>
          <w:szCs w:val="32"/>
          <w:lang w:val="en-US" w:eastAsia="zh-CN" w:bidi="ar"/>
        </w:rPr>
        <w:t>第六部分  举办者履责</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6.1</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经费</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严格落实生均经费等各项目资金。学校按照实际情况申请、使用各项财政资金，生均经费按照每生每年1200元，并按照15%的比例评选特困学生，给予每学期1000元/人的困难补助。</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楷体" w:hAnsi="楷体" w:eastAsia="楷体" w:cs="楷体"/>
          <w:b/>
          <w:bCs/>
          <w:spacing w:val="-6"/>
          <w:sz w:val="32"/>
          <w:szCs w:val="32"/>
        </w:rPr>
        <w:t>6.2</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政策措施</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严格落实办学自主权和教师编制，全面推进学校管理体制改革。提升学校办学水平，在办学过程中，学校始终把打造内涵、提升办学水平作为工作根本，在落实《教学常规实施细则》和《教师教研活动制度》等基本规范的基础上，修订完善了《教师量化考核办法》等来提升办学水平的政策和制度。</w:t>
      </w: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b w:val="0"/>
          <w:bCs/>
          <w:color w:val="000000"/>
          <w:kern w:val="0"/>
          <w:sz w:val="32"/>
          <w:szCs w:val="32"/>
          <w:lang w:val="en-US" w:eastAsia="zh-CN" w:bidi="ar"/>
        </w:rPr>
      </w:pPr>
    </w:p>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b w:val="0"/>
          <w:bCs/>
          <w:spacing w:val="-6"/>
          <w:sz w:val="32"/>
          <w:szCs w:val="32"/>
        </w:rPr>
      </w:pPr>
      <w:r>
        <w:rPr>
          <w:rFonts w:hint="eastAsia" w:ascii="黑体" w:hAnsi="黑体" w:eastAsia="黑体" w:cs="黑体"/>
          <w:b w:val="0"/>
          <w:bCs/>
          <w:color w:val="000000"/>
          <w:kern w:val="0"/>
          <w:sz w:val="32"/>
          <w:szCs w:val="32"/>
          <w:lang w:val="en-US" w:eastAsia="zh-CN" w:bidi="ar"/>
        </w:rPr>
        <w:t>第七部分   特色创新</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rPr>
        <w:t>7.1</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传统文化与日常教学相结合</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多年来，学校在强化训练，保证教学的基础上，始终遵循“以人为本、德育为先”的教育理念，搭建“厚德、强体、博学、多艺”的优秀专业后备人才的培养平台，不断加强德育课实施及德育活动延伸，做到“知、情、意、行”的统一，依托学校2010年投资建设的“德善书院”传统文化教育基地，邀请国学专家及学者到校进行讲座与培训，力争使学员毕业后成为新时代德技双馨的高素质人才。</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rPr>
        <w:t>7.2</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专业课国内外学术交流日益频繁</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参加国内外表演比赛是我校常此以往的作为，而且也是增进国际友好关系的有效途径。4月21日，欧洲文化参访团一行200余人，在登封市有关领导的陪同下，莅临我校参观访问，参访期间，他们观看了我校学生们少林功夫的表演，并在专业课教师的指导下，学习了正宗的少林八段锦，对少林武术产生了浓厚的学习兴趣；5月22日，我校王保增、李文武两位教师率57名学员参加了“第四届中国.徐州丝路汉风国际武术大赛”，获得53金、48银、12铜共113枚奖牌的好成绩，集体荣获“团体第一名”、“集体一等奖”的好成绩；9月7日，我校1100名学生在郑州如意湖广场，参加了第十一届全国少数民族传统体育运动会火炬传递收火仪式，现场表演的两首歌伴舞赢得了领导和现场观众的高度赞扬；11月我校专业课教师李文武率部分学员随国家副主席王岐山去蒙古国参加中蒙建交70周年庆祝活动，现场出色的少林武术表演，为我国赢得了荣誉，使蒙古人民对我少林武术有了进一步的了解。</w:t>
      </w:r>
    </w:p>
    <w:p>
      <w:pPr>
        <w:keepNext w:val="0"/>
        <w:keepLines w:val="0"/>
        <w:pageBreakBefore w:val="0"/>
        <w:kinsoku/>
        <w:wordWrap/>
        <w:overflowPunct/>
        <w:topLinePunct w:val="0"/>
        <w:autoSpaceDE/>
        <w:autoSpaceDN/>
        <w:bidi w:val="0"/>
        <w:spacing w:line="590" w:lineRule="exact"/>
        <w:jc w:val="center"/>
        <w:textAlignment w:val="auto"/>
        <w:rPr>
          <w:rFonts w:hint="eastAsia" w:ascii="黑体" w:hAnsi="黑体" w:eastAsia="黑体" w:cs="黑体"/>
          <w:b w:val="0"/>
          <w:bCs/>
          <w:color w:val="000000"/>
          <w:kern w:val="0"/>
          <w:sz w:val="32"/>
          <w:szCs w:val="32"/>
          <w:lang w:val="en-US" w:eastAsia="zh-CN" w:bidi="ar"/>
        </w:rPr>
      </w:pPr>
    </w:p>
    <w:p>
      <w:pPr>
        <w:keepNext w:val="0"/>
        <w:keepLines w:val="0"/>
        <w:pageBreakBefore w:val="0"/>
        <w:kinsoku/>
        <w:wordWrap/>
        <w:overflowPunct/>
        <w:topLinePunct w:val="0"/>
        <w:autoSpaceDE/>
        <w:autoSpaceDN/>
        <w:bidi w:val="0"/>
        <w:spacing w:line="590" w:lineRule="exact"/>
        <w:jc w:val="center"/>
        <w:textAlignment w:val="auto"/>
        <w:rPr>
          <w:rFonts w:hint="eastAsia" w:ascii="仿宋" w:hAnsi="仿宋" w:eastAsia="仿宋" w:cs="仿宋"/>
          <w:sz w:val="32"/>
          <w:szCs w:val="32"/>
        </w:rPr>
      </w:pPr>
      <w:r>
        <w:rPr>
          <w:rFonts w:hint="eastAsia" w:ascii="黑体" w:hAnsi="黑体" w:eastAsia="黑体" w:cs="黑体"/>
          <w:b w:val="0"/>
          <w:bCs/>
          <w:color w:val="000000"/>
          <w:kern w:val="0"/>
          <w:sz w:val="32"/>
          <w:szCs w:val="32"/>
          <w:lang w:val="en-US" w:eastAsia="zh-CN" w:bidi="ar"/>
        </w:rPr>
        <w:t>第八部分  主要问题和改进措施</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spacing w:val="-6"/>
          <w:sz w:val="32"/>
          <w:szCs w:val="32"/>
        </w:rPr>
      </w:pPr>
      <w:r>
        <w:rPr>
          <w:rFonts w:hint="eastAsia" w:ascii="楷体" w:hAnsi="楷体" w:eastAsia="楷体" w:cs="楷体"/>
          <w:b/>
          <w:bCs/>
          <w:spacing w:val="-6"/>
          <w:sz w:val="32"/>
          <w:szCs w:val="32"/>
        </w:rPr>
        <w:t>8.1</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存在的问题</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一是校企合作的深度不够，企业深度参与专业建设和人才培养的积极性不高，校企合作、工学结合运行长效机制还需完善。</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二是人才培养模式、课程体系、教学模式等教育教学改革还需要继续深入推进，教育教学质量还需继续提高。</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三是师资队伍的数量、结构、质量与培养高素质技能型人才的需求还有一定差距，师资队伍素质和水平有待进一步提升。</w:t>
      </w:r>
    </w:p>
    <w:p>
      <w:pPr>
        <w:keepNext w:val="0"/>
        <w:keepLines w:val="0"/>
        <w:pageBreakBefore w:val="0"/>
        <w:kinsoku/>
        <w:wordWrap/>
        <w:overflowPunct/>
        <w:topLinePunct w:val="0"/>
        <w:autoSpaceDE/>
        <w:autoSpaceDN/>
        <w:bidi w:val="0"/>
        <w:spacing w:line="590" w:lineRule="exact"/>
        <w:ind w:firstLine="6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rPr>
        <w:t>8.2</w:t>
      </w: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改进措施</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eastAsia="zh-CN"/>
        </w:rPr>
        <w:t>一是</w:t>
      </w:r>
      <w:r>
        <w:rPr>
          <w:rFonts w:hint="eastAsia" w:ascii="仿宋" w:hAnsi="仿宋" w:eastAsia="仿宋" w:cs="仿宋"/>
          <w:spacing w:val="-6"/>
          <w:sz w:val="32"/>
          <w:szCs w:val="32"/>
        </w:rPr>
        <w:t>加强与企业的交流与合作，提高企业参与人才培养的积极性，建立完善校企合作、工学结合运行长效机制。</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eastAsia="zh-CN"/>
        </w:rPr>
        <w:t>二是</w:t>
      </w:r>
      <w:r>
        <w:rPr>
          <w:rFonts w:hint="eastAsia" w:ascii="仿宋" w:hAnsi="仿宋" w:eastAsia="仿宋" w:cs="仿宋"/>
          <w:spacing w:val="-6"/>
          <w:sz w:val="32"/>
          <w:szCs w:val="32"/>
        </w:rPr>
        <w:t>深化人才培养模式、课程体系、教学模式等教育教学改革，加强实践性教学，提高学生的职业技能、职业素养和综合素质。</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eastAsia="zh-CN"/>
        </w:rPr>
        <w:t>三是</w:t>
      </w:r>
      <w:r>
        <w:rPr>
          <w:rFonts w:hint="eastAsia" w:ascii="仿宋" w:hAnsi="仿宋" w:eastAsia="仿宋" w:cs="仿宋"/>
          <w:spacing w:val="-6"/>
          <w:sz w:val="32"/>
          <w:szCs w:val="32"/>
        </w:rPr>
        <w:t>完善教师培养培训长效机制，继续强化对现有教师的培养培训，加强教师业务素质培训，不断提高师资队伍的整体素质。</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eastAsia="zh-CN"/>
        </w:rPr>
        <w:t>总之，</w:t>
      </w:r>
      <w:r>
        <w:rPr>
          <w:rFonts w:hint="eastAsia" w:ascii="仿宋" w:hAnsi="仿宋" w:eastAsia="仿宋" w:cs="仿宋"/>
          <w:spacing w:val="-6"/>
          <w:sz w:val="32"/>
          <w:szCs w:val="32"/>
        </w:rPr>
        <w:t>2019年是学校创新提升年，也是全校上下满怀激情、开拓奋进的一年，在上级领导的关心支持下，全校师生以内涵建设为总抓手，坚持“巩固、发展、提高、示范”发展思路，团结拼搏，</w:t>
      </w:r>
      <w:bookmarkStart w:id="0" w:name="_GoBack"/>
      <w:bookmarkEnd w:id="0"/>
      <w:r>
        <w:rPr>
          <w:rFonts w:hint="eastAsia" w:ascii="仿宋" w:hAnsi="仿宋" w:eastAsia="仿宋" w:cs="仿宋"/>
          <w:spacing w:val="-6"/>
          <w:sz w:val="32"/>
          <w:szCs w:val="32"/>
        </w:rPr>
        <w:t>求真务实、开拓创新，各项工作取得了显著成绩，综合实力迈上了新台阶。</w:t>
      </w:r>
    </w:p>
    <w:p>
      <w:pPr>
        <w:keepNext w:val="0"/>
        <w:keepLines w:val="0"/>
        <w:pageBreakBefore w:val="0"/>
        <w:kinsoku/>
        <w:wordWrap/>
        <w:overflowPunct/>
        <w:topLinePunct w:val="0"/>
        <w:autoSpaceDE/>
        <w:autoSpaceDN/>
        <w:bidi w:val="0"/>
        <w:spacing w:line="590" w:lineRule="exact"/>
        <w:ind w:firstLine="600"/>
        <w:textAlignment w:val="auto"/>
        <w:rPr>
          <w:rFonts w:hint="eastAsia" w:ascii="仿宋" w:hAnsi="仿宋" w:eastAsia="仿宋" w:cs="仿宋"/>
          <w:spacing w:val="-6"/>
          <w:sz w:val="32"/>
          <w:szCs w:val="32"/>
        </w:rPr>
      </w:pPr>
    </w:p>
    <w:p>
      <w:pPr>
        <w:keepNext w:val="0"/>
        <w:keepLines w:val="0"/>
        <w:pageBreakBefore w:val="0"/>
        <w:kinsoku/>
        <w:wordWrap/>
        <w:overflowPunct/>
        <w:topLinePunct w:val="0"/>
        <w:autoSpaceDE/>
        <w:autoSpaceDN/>
        <w:bidi w:val="0"/>
        <w:spacing w:line="590" w:lineRule="exact"/>
        <w:textAlignment w:val="auto"/>
        <w:rPr>
          <w:rFonts w:hint="eastAsia" w:ascii="仿宋" w:hAnsi="仿宋" w:eastAsia="仿宋" w:cs="仿宋"/>
          <w:spacing w:val="-6"/>
          <w:sz w:val="32"/>
          <w:szCs w:val="32"/>
        </w:rPr>
      </w:pPr>
    </w:p>
    <w:p>
      <w:pPr>
        <w:keepNext w:val="0"/>
        <w:keepLines w:val="0"/>
        <w:pageBreakBefore w:val="0"/>
        <w:kinsoku/>
        <w:wordWrap/>
        <w:overflowPunct/>
        <w:topLinePunct w:val="0"/>
        <w:autoSpaceDE/>
        <w:autoSpaceDN/>
        <w:bidi w:val="0"/>
        <w:spacing w:line="59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pacing w:val="-6"/>
          <w:sz w:val="32"/>
          <w:szCs w:val="32"/>
          <w:lang w:val="en-US" w:eastAsia="zh-CN"/>
        </w:rPr>
        <w:t xml:space="preserve">                                   </w:t>
      </w:r>
      <w:r>
        <w:rPr>
          <w:rFonts w:hint="eastAsia" w:ascii="仿宋" w:hAnsi="仿宋" w:eastAsia="仿宋" w:cs="仿宋"/>
          <w:spacing w:val="-6"/>
          <w:sz w:val="32"/>
          <w:szCs w:val="32"/>
        </w:rPr>
        <w:t>2020年2月</w:t>
      </w:r>
      <w:r>
        <w:rPr>
          <w:rFonts w:hint="eastAsia" w:ascii="仿宋" w:hAnsi="仿宋" w:eastAsia="仿宋" w:cs="仿宋"/>
          <w:spacing w:val="-6"/>
          <w:sz w:val="32"/>
          <w:szCs w:val="32"/>
          <w:lang w:val="en-US" w:eastAsia="zh-CN"/>
        </w:rPr>
        <w:t>28日</w:t>
      </w:r>
    </w:p>
    <w:sectPr>
      <w:footerReference r:id="rId3" w:type="default"/>
      <w:pgSz w:w="11906" w:h="16838"/>
      <w:pgMar w:top="2098" w:right="1474" w:bottom="215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6007333"/>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A1550"/>
    <w:rsid w:val="0003535A"/>
    <w:rsid w:val="00070A6A"/>
    <w:rsid w:val="000975BE"/>
    <w:rsid w:val="000A2586"/>
    <w:rsid w:val="000A5315"/>
    <w:rsid w:val="00115C8C"/>
    <w:rsid w:val="001713B1"/>
    <w:rsid w:val="00173068"/>
    <w:rsid w:val="00177E82"/>
    <w:rsid w:val="001A03BA"/>
    <w:rsid w:val="001A24F0"/>
    <w:rsid w:val="001F1A1B"/>
    <w:rsid w:val="001F4D45"/>
    <w:rsid w:val="0020644F"/>
    <w:rsid w:val="002250B9"/>
    <w:rsid w:val="002424E7"/>
    <w:rsid w:val="002946CA"/>
    <w:rsid w:val="00294AB8"/>
    <w:rsid w:val="00330E0B"/>
    <w:rsid w:val="00355869"/>
    <w:rsid w:val="003654D8"/>
    <w:rsid w:val="003A1B30"/>
    <w:rsid w:val="00424A8A"/>
    <w:rsid w:val="00455BA6"/>
    <w:rsid w:val="00481FFF"/>
    <w:rsid w:val="004A14CC"/>
    <w:rsid w:val="004B400E"/>
    <w:rsid w:val="004D608B"/>
    <w:rsid w:val="004E5BC5"/>
    <w:rsid w:val="00515BB8"/>
    <w:rsid w:val="00517234"/>
    <w:rsid w:val="00520498"/>
    <w:rsid w:val="00547FB1"/>
    <w:rsid w:val="00593E0E"/>
    <w:rsid w:val="005A1550"/>
    <w:rsid w:val="005A646A"/>
    <w:rsid w:val="005A6CF0"/>
    <w:rsid w:val="005C700E"/>
    <w:rsid w:val="005D45CF"/>
    <w:rsid w:val="005F453D"/>
    <w:rsid w:val="00656BB1"/>
    <w:rsid w:val="00663FB0"/>
    <w:rsid w:val="006874D6"/>
    <w:rsid w:val="006A6926"/>
    <w:rsid w:val="006F7732"/>
    <w:rsid w:val="00705C2A"/>
    <w:rsid w:val="00734D21"/>
    <w:rsid w:val="007539F2"/>
    <w:rsid w:val="00780716"/>
    <w:rsid w:val="00785537"/>
    <w:rsid w:val="007C4469"/>
    <w:rsid w:val="007F1150"/>
    <w:rsid w:val="0084553B"/>
    <w:rsid w:val="00862398"/>
    <w:rsid w:val="008978B1"/>
    <w:rsid w:val="008E25F3"/>
    <w:rsid w:val="00900714"/>
    <w:rsid w:val="009A5514"/>
    <w:rsid w:val="009D4AB1"/>
    <w:rsid w:val="00A56350"/>
    <w:rsid w:val="00A74BD8"/>
    <w:rsid w:val="00A939B7"/>
    <w:rsid w:val="00A94522"/>
    <w:rsid w:val="00AD3944"/>
    <w:rsid w:val="00B330D8"/>
    <w:rsid w:val="00B84A8E"/>
    <w:rsid w:val="00BA4192"/>
    <w:rsid w:val="00BE6F46"/>
    <w:rsid w:val="00C13BB3"/>
    <w:rsid w:val="00C145C6"/>
    <w:rsid w:val="00C407ED"/>
    <w:rsid w:val="00CF3729"/>
    <w:rsid w:val="00D5288D"/>
    <w:rsid w:val="00D53CF8"/>
    <w:rsid w:val="00D5527D"/>
    <w:rsid w:val="00DE2605"/>
    <w:rsid w:val="00E17C34"/>
    <w:rsid w:val="00E6145A"/>
    <w:rsid w:val="00E769DB"/>
    <w:rsid w:val="00E92CDE"/>
    <w:rsid w:val="00EA2513"/>
    <w:rsid w:val="00ED4C75"/>
    <w:rsid w:val="00F04DB3"/>
    <w:rsid w:val="00F326F0"/>
    <w:rsid w:val="00FC3D53"/>
    <w:rsid w:val="00FF4466"/>
    <w:rsid w:val="0636291A"/>
    <w:rsid w:val="0F127CA7"/>
    <w:rsid w:val="0FDE3F4D"/>
    <w:rsid w:val="0FF37AAE"/>
    <w:rsid w:val="13142AF3"/>
    <w:rsid w:val="17550C33"/>
    <w:rsid w:val="1A2E3676"/>
    <w:rsid w:val="22DE5DC8"/>
    <w:rsid w:val="2AC47092"/>
    <w:rsid w:val="2E201B98"/>
    <w:rsid w:val="37DC6443"/>
    <w:rsid w:val="405D7AA4"/>
    <w:rsid w:val="4668747C"/>
    <w:rsid w:val="4F693470"/>
    <w:rsid w:val="4F98552C"/>
    <w:rsid w:val="54ED3050"/>
    <w:rsid w:val="58D77197"/>
    <w:rsid w:val="5CD52E15"/>
    <w:rsid w:val="5FB03F12"/>
    <w:rsid w:val="6623502C"/>
    <w:rsid w:val="67D4208E"/>
    <w:rsid w:val="695D7396"/>
    <w:rsid w:val="6BEB3490"/>
    <w:rsid w:val="6BFD3226"/>
    <w:rsid w:val="6DD25633"/>
    <w:rsid w:val="74DE04F8"/>
    <w:rsid w:val="797F59EC"/>
    <w:rsid w:val="7EB6109C"/>
    <w:rsid w:val="7F6752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sz w:val="18"/>
      <w:szCs w:val="18"/>
    </w:rPr>
  </w:style>
  <w:style w:type="character" w:customStyle="1" w:styleId="13">
    <w:name w:val="日期 Char"/>
    <w:basedOn w:val="9"/>
    <w:link w:val="2"/>
    <w:semiHidden/>
    <w:qFormat/>
    <w:uiPriority w:val="99"/>
  </w:style>
  <w:style w:type="character" w:customStyle="1" w:styleId="14">
    <w:name w:val="默认段落字体_0"/>
    <w:semiHidden/>
    <w:qFormat/>
    <w:uiPriority w:val="0"/>
  </w:style>
  <w:style w:type="paragraph" w:customStyle="1" w:styleId="15">
    <w:name w:val="Normal_0"/>
    <w:qFormat/>
    <w:uiPriority w:val="0"/>
    <w:pPr>
      <w:widowControl w:val="0"/>
      <w:spacing w:before="200" w:after="200" w:line="10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A19FA-00BE-4609-AC2C-34297DDDDD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1442</Words>
  <Characters>8223</Characters>
  <Lines>68</Lines>
  <Paragraphs>19</Paragraphs>
  <TotalTime>15</TotalTime>
  <ScaleCrop>false</ScaleCrop>
  <LinksUpToDate>false</LinksUpToDate>
  <CharactersWithSpaces>9646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2018-12-19T07:31:00Z</dcterms:created>
  <dc:creator>Microsoft</dc:creator>
  <cp:lastModifiedBy>Administrator</cp:lastModifiedBy>
  <cp:lastPrinted>2020-02-27T09:58:00Z</cp:lastPrinted>
  <dcterms:modified xsi:type="dcterms:W3CDTF">2020-03-09T00:08:53Z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